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rPr>
          <w:rFonts w:ascii="黑体" w:hAnsi="黑体" w:eastAsia="黑体" w:cs="黑体"/>
          <w:sz w:val="52"/>
          <w:szCs w:val="52"/>
        </w:rPr>
      </w:pPr>
      <w:r>
        <w:rPr>
          <w:rFonts w:ascii="黑体" w:hAnsi="黑体" w:eastAsia="黑体" w:cs="黑体"/>
          <w:sz w:val="52"/>
          <w:szCs w:val="52"/>
        </w:rPr>
        <w:t>2019</w:t>
      </w:r>
      <w:r>
        <w:rPr>
          <w:rFonts w:hint="eastAsia" w:ascii="黑体" w:hAnsi="黑体" w:eastAsia="黑体" w:cs="黑体"/>
          <w:sz w:val="52"/>
          <w:szCs w:val="52"/>
        </w:rPr>
        <w:t>年度</w:t>
      </w:r>
    </w:p>
    <w:p>
      <w:pPr>
        <w:jc w:val="center"/>
        <w:rPr>
          <w:rFonts w:ascii="黑体" w:hAnsi="黑体" w:eastAsia="黑体" w:cs="黑体"/>
          <w:sz w:val="52"/>
          <w:szCs w:val="52"/>
        </w:rPr>
      </w:pPr>
      <w:r>
        <w:rPr>
          <w:rFonts w:hint="eastAsia" w:ascii="黑体" w:hAnsi="黑体" w:eastAsia="黑体" w:cs="黑体"/>
          <w:sz w:val="52"/>
          <w:szCs w:val="52"/>
        </w:rPr>
        <w:t>许昌市公路服务中心部门决算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二〇二〇年九月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许昌市公路服务中心概况</w:t>
      </w:r>
    </w:p>
    <w:p>
      <w:pPr>
        <w:numPr>
          <w:ilvl w:val="0"/>
          <w:numId w:val="1"/>
        </w:numPr>
        <w:ind w:firstLine="640" w:firstLineChars="200"/>
        <w:jc w:val="left"/>
        <w:rPr>
          <w:rFonts w:asci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w:t>
      </w:r>
      <w:r>
        <w:rPr>
          <w:rFonts w:ascii="黑体" w:hAnsi="黑体" w:eastAsia="黑体" w:cs="黑体"/>
          <w:sz w:val="32"/>
          <w:szCs w:val="32"/>
        </w:rPr>
        <w:t>2019</w:t>
      </w:r>
      <w:r>
        <w:rPr>
          <w:rFonts w:hint="eastAsia" w:ascii="黑体" w:hAnsi="黑体" w:eastAsia="黑体" w:cs="黑体"/>
          <w:sz w:val="32"/>
          <w:szCs w:val="32"/>
        </w:rPr>
        <w:t>年度部门决算表</w:t>
      </w:r>
    </w:p>
    <w:p>
      <w:pPr>
        <w:ind w:firstLine="640" w:firstLineChars="200"/>
        <w:jc w:val="left"/>
        <w:rPr>
          <w:rFonts w:ascii="宋体" w:cs="宋体"/>
          <w:sz w:val="32"/>
          <w:szCs w:val="32"/>
        </w:rPr>
      </w:pPr>
      <w:r>
        <w:rPr>
          <w:rFonts w:hint="eastAsia" w:ascii="宋体" w:hAnsi="宋体" w:cs="宋体"/>
          <w:sz w:val="32"/>
          <w:szCs w:val="32"/>
        </w:rPr>
        <w:t>一、收入支出决算总表</w:t>
      </w:r>
    </w:p>
    <w:p>
      <w:pPr>
        <w:ind w:firstLine="640" w:firstLineChars="200"/>
        <w:jc w:val="left"/>
        <w:rPr>
          <w:rFonts w:ascii="宋体" w:cs="宋体"/>
          <w:sz w:val="32"/>
          <w:szCs w:val="32"/>
        </w:rPr>
      </w:pPr>
      <w:r>
        <w:rPr>
          <w:rFonts w:hint="eastAsia" w:ascii="宋体" w:hAnsi="宋体" w:cs="宋体"/>
          <w:sz w:val="32"/>
          <w:szCs w:val="32"/>
        </w:rPr>
        <w:t>二、收入决算表</w:t>
      </w:r>
    </w:p>
    <w:p>
      <w:pPr>
        <w:ind w:firstLine="640" w:firstLineChars="200"/>
        <w:jc w:val="left"/>
        <w:rPr>
          <w:rFonts w:ascii="宋体" w:cs="宋体"/>
          <w:sz w:val="32"/>
          <w:szCs w:val="32"/>
        </w:rPr>
      </w:pPr>
      <w:r>
        <w:rPr>
          <w:rFonts w:hint="eastAsia" w:ascii="宋体" w:hAnsi="宋体" w:cs="宋体"/>
          <w:sz w:val="32"/>
          <w:szCs w:val="32"/>
        </w:rPr>
        <w:t>三、支出决算表</w:t>
      </w:r>
    </w:p>
    <w:p>
      <w:pPr>
        <w:ind w:firstLine="640" w:firstLineChars="200"/>
        <w:jc w:val="left"/>
        <w:rPr>
          <w:rFonts w:ascii="宋体" w:cs="宋体"/>
          <w:sz w:val="32"/>
          <w:szCs w:val="32"/>
        </w:rPr>
      </w:pPr>
      <w:r>
        <w:rPr>
          <w:rFonts w:hint="eastAsia" w:ascii="宋体" w:hAnsi="宋体" w:cs="宋体"/>
          <w:sz w:val="32"/>
          <w:szCs w:val="32"/>
        </w:rPr>
        <w:t>四、财政拨款收入支出决算总表</w:t>
      </w:r>
    </w:p>
    <w:p>
      <w:pPr>
        <w:ind w:firstLine="640" w:firstLineChars="200"/>
        <w:jc w:val="left"/>
        <w:rPr>
          <w:rFonts w:ascii="宋体" w:cs="宋体"/>
          <w:sz w:val="32"/>
          <w:szCs w:val="32"/>
        </w:rPr>
      </w:pPr>
      <w:r>
        <w:rPr>
          <w:rFonts w:hint="eastAsia" w:ascii="宋体" w:hAnsi="宋体" w:cs="宋体"/>
          <w:sz w:val="32"/>
          <w:szCs w:val="32"/>
        </w:rPr>
        <w:t>五、一般公共预算财政拨款支出决算表</w:t>
      </w:r>
    </w:p>
    <w:p>
      <w:pPr>
        <w:ind w:firstLine="640" w:firstLineChars="200"/>
        <w:jc w:val="left"/>
        <w:rPr>
          <w:rFonts w:ascii="宋体" w:cs="宋体"/>
          <w:sz w:val="32"/>
          <w:szCs w:val="32"/>
        </w:rPr>
      </w:pPr>
      <w:r>
        <w:rPr>
          <w:rFonts w:hint="eastAsia" w:ascii="宋体" w:hAnsi="宋体" w:cs="宋体"/>
          <w:sz w:val="32"/>
          <w:szCs w:val="32"/>
        </w:rPr>
        <w:t>六、一般公共预算财政拨款基本支出决算表</w:t>
      </w:r>
    </w:p>
    <w:p>
      <w:pPr>
        <w:ind w:firstLine="640" w:firstLineChars="200"/>
        <w:jc w:val="left"/>
        <w:rPr>
          <w:rFonts w:ascii="宋体" w:cs="宋体"/>
          <w:sz w:val="32"/>
          <w:szCs w:val="32"/>
        </w:rPr>
      </w:pPr>
      <w:r>
        <w:rPr>
          <w:rFonts w:hint="eastAsia" w:ascii="宋体" w:hAnsi="宋体" w:cs="宋体"/>
          <w:sz w:val="32"/>
          <w:szCs w:val="32"/>
        </w:rPr>
        <w:t>七、一般公共预算财政拨款“三公”经费支出决算表</w:t>
      </w:r>
    </w:p>
    <w:p>
      <w:pPr>
        <w:ind w:firstLine="640" w:firstLineChars="200"/>
        <w:jc w:val="left"/>
        <w:rPr>
          <w:rFonts w:ascii="宋体" w:cs="宋体"/>
          <w:sz w:val="32"/>
          <w:szCs w:val="32"/>
        </w:rPr>
      </w:pPr>
      <w:r>
        <w:rPr>
          <w:rFonts w:hint="eastAsia" w:ascii="宋体" w:hAnsi="宋体" w:cs="宋体"/>
          <w:sz w:val="32"/>
          <w:szCs w:val="32"/>
        </w:rPr>
        <w:t>八、政府性基金预算财政拨款收入支出决算表</w:t>
      </w:r>
    </w:p>
    <w:p>
      <w:pPr>
        <w:jc w:val="left"/>
        <w:rPr>
          <w:rFonts w:ascii="黑体" w:hAnsi="黑体" w:eastAsia="黑体" w:cs="黑体"/>
          <w:sz w:val="32"/>
          <w:szCs w:val="32"/>
        </w:rPr>
      </w:pPr>
      <w:r>
        <w:rPr>
          <w:rFonts w:hint="eastAsia" w:ascii="黑体" w:hAnsi="黑体" w:eastAsia="黑体" w:cs="黑体"/>
          <w:sz w:val="32"/>
          <w:szCs w:val="32"/>
        </w:rPr>
        <w:t>第三部分　　</w:t>
      </w:r>
      <w:r>
        <w:rPr>
          <w:rFonts w:ascii="黑体" w:hAnsi="黑体" w:eastAsia="黑体" w:cs="黑体"/>
          <w:sz w:val="32"/>
          <w:szCs w:val="32"/>
        </w:rPr>
        <w:t>2019</w:t>
      </w:r>
      <w:r>
        <w:rPr>
          <w:rFonts w:hint="eastAsia" w:ascii="黑体" w:hAnsi="黑体" w:eastAsia="黑体" w:cs="黑体"/>
          <w:sz w:val="32"/>
          <w:szCs w:val="32"/>
        </w:rPr>
        <w:t>年度部门决算情况说明</w:t>
      </w:r>
    </w:p>
    <w:p>
      <w:pPr>
        <w:ind w:firstLine="640" w:firstLineChars="200"/>
        <w:jc w:val="left"/>
        <w:rPr>
          <w:rFonts w:ascii="宋体" w:cs="宋体"/>
          <w:sz w:val="32"/>
          <w:szCs w:val="32"/>
        </w:rPr>
      </w:pPr>
      <w:r>
        <w:rPr>
          <w:rFonts w:hint="eastAsia" w:ascii="宋体" w:hAnsi="宋体" w:cs="宋体"/>
          <w:sz w:val="32"/>
          <w:szCs w:val="32"/>
        </w:rPr>
        <w:t>一、收入支出决算总体情况说明</w:t>
      </w:r>
    </w:p>
    <w:p>
      <w:pPr>
        <w:ind w:firstLine="640" w:firstLineChars="200"/>
        <w:jc w:val="left"/>
        <w:rPr>
          <w:rFonts w:ascii="宋体" w:cs="宋体"/>
          <w:sz w:val="32"/>
          <w:szCs w:val="32"/>
        </w:rPr>
      </w:pPr>
      <w:r>
        <w:rPr>
          <w:rFonts w:hint="eastAsia" w:ascii="宋体" w:hAnsi="宋体" w:cs="宋体"/>
          <w:sz w:val="32"/>
          <w:szCs w:val="32"/>
        </w:rPr>
        <w:t>二、收入决算情况说明</w:t>
      </w:r>
    </w:p>
    <w:p>
      <w:pPr>
        <w:ind w:firstLine="640" w:firstLineChars="200"/>
        <w:jc w:val="left"/>
        <w:rPr>
          <w:rFonts w:ascii="宋体" w:cs="宋体"/>
          <w:sz w:val="32"/>
          <w:szCs w:val="32"/>
        </w:rPr>
      </w:pPr>
      <w:r>
        <w:rPr>
          <w:rFonts w:hint="eastAsia" w:ascii="宋体" w:hAnsi="宋体" w:cs="宋体"/>
          <w:sz w:val="32"/>
          <w:szCs w:val="32"/>
        </w:rPr>
        <w:t>三、支出决算情况说明</w:t>
      </w:r>
    </w:p>
    <w:p>
      <w:pPr>
        <w:ind w:firstLine="640" w:firstLineChars="200"/>
        <w:jc w:val="left"/>
        <w:rPr>
          <w:rFonts w:asci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asci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asci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asci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ascii="宋体" w:cs="宋体"/>
          <w:sz w:val="32"/>
          <w:szCs w:val="32"/>
        </w:rPr>
      </w:pPr>
      <w:r>
        <w:rPr>
          <w:rFonts w:hint="eastAsia" w:ascii="宋体" w:hAnsi="宋体" w:cs="宋体"/>
          <w:sz w:val="32"/>
          <w:szCs w:val="32"/>
        </w:rPr>
        <w:t>八、预算绩效情况说明</w:t>
      </w:r>
    </w:p>
    <w:p>
      <w:pPr>
        <w:ind w:firstLine="640" w:firstLineChars="200"/>
        <w:jc w:val="left"/>
        <w:rPr>
          <w:rFonts w:ascii="宋体" w:cs="宋体"/>
          <w:sz w:val="32"/>
          <w:szCs w:val="32"/>
        </w:rPr>
      </w:pPr>
      <w:r>
        <w:rPr>
          <w:rFonts w:hint="eastAsia" w:ascii="宋体" w:hAnsi="宋体" w:cs="宋体"/>
          <w:sz w:val="32"/>
          <w:szCs w:val="32"/>
        </w:rPr>
        <w:t>九、政府性基金预算财政拨款支出决算情况说明</w:t>
      </w:r>
    </w:p>
    <w:p>
      <w:pPr>
        <w:ind w:firstLine="640" w:firstLineChars="200"/>
        <w:jc w:val="left"/>
        <w:rPr>
          <w:rFonts w:ascii="宋体" w:cs="宋体"/>
          <w:sz w:val="32"/>
          <w:szCs w:val="32"/>
        </w:rPr>
      </w:pPr>
      <w:r>
        <w:rPr>
          <w:rFonts w:hint="eastAsia" w:ascii="宋体" w:hAnsi="宋体" w:cs="宋体"/>
          <w:sz w:val="32"/>
          <w:szCs w:val="32"/>
        </w:rPr>
        <w:t>十、机关运行经费支出情况说明</w:t>
      </w:r>
    </w:p>
    <w:p>
      <w:pPr>
        <w:ind w:firstLine="640" w:firstLineChars="200"/>
        <w:jc w:val="left"/>
        <w:rPr>
          <w:rFonts w:ascii="宋体" w:cs="宋体"/>
          <w:sz w:val="32"/>
          <w:szCs w:val="32"/>
        </w:rPr>
      </w:pPr>
      <w:r>
        <w:rPr>
          <w:rFonts w:hint="eastAsia" w:ascii="宋体" w:hAnsi="宋体" w:cs="宋体"/>
          <w:sz w:val="32"/>
          <w:szCs w:val="32"/>
        </w:rPr>
        <w:t>十一、政府采购支出情况说明</w:t>
      </w:r>
    </w:p>
    <w:p>
      <w:pPr>
        <w:ind w:firstLine="640" w:firstLineChars="200"/>
        <w:jc w:val="left"/>
        <w:rPr>
          <w:rFonts w:ascii="宋体" w:cs="宋体"/>
          <w:sz w:val="32"/>
          <w:szCs w:val="32"/>
        </w:rPr>
      </w:pPr>
      <w:r>
        <w:rPr>
          <w:rFonts w:hint="eastAsia" w:ascii="宋体" w:hAnsi="宋体" w:cs="宋体"/>
          <w:sz w:val="32"/>
          <w:szCs w:val="32"/>
        </w:rPr>
        <w:t>十二、国有资产占用情况说明</w:t>
      </w:r>
    </w:p>
    <w:p>
      <w:pPr>
        <w:jc w:val="left"/>
        <w:rPr>
          <w:rFonts w:ascii="黑体" w:hAnsi="黑体" w:eastAsia="黑体" w:cs="黑体"/>
          <w:sz w:val="32"/>
          <w:szCs w:val="32"/>
        </w:rPr>
      </w:pPr>
      <w:r>
        <w:rPr>
          <w:rFonts w:hint="eastAsia" w:ascii="黑体" w:hAnsi="黑体" w:eastAsia="黑体" w:cs="黑体"/>
          <w:sz w:val="32"/>
          <w:szCs w:val="32"/>
        </w:rPr>
        <w:t>第四部分　　名词解释</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center"/>
        <w:outlineLvl w:val="0"/>
        <w:rPr>
          <w:rFonts w:ascii="黑体" w:hAnsi="黑体" w:eastAsia="黑体" w:cs="黑体"/>
          <w:sz w:val="48"/>
          <w:szCs w:val="48"/>
        </w:rPr>
        <w:sectPr>
          <w:footerReference r:id="rId3" w:type="default"/>
          <w:footerReference r:id="rId4" w:type="even"/>
          <w:pgSz w:w="11906" w:h="16838"/>
          <w:pgMar w:top="1440" w:right="1800" w:bottom="1440" w:left="1800" w:header="720" w:footer="720" w:gutter="0"/>
          <w:pgNumType w:fmt="numberInDash"/>
          <w:cols w:space="720" w:num="1"/>
          <w:docGrid w:type="lines" w:linePitch="312" w:charSpace="0"/>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center"/>
        <w:outlineLvl w:val="0"/>
        <w:rPr>
          <w:rFonts w:ascii="黑体" w:hAnsi="宋体" w:eastAsia="黑体" w:cs="宋体"/>
          <w:kern w:val="0"/>
          <w:sz w:val="28"/>
          <w:szCs w:val="28"/>
        </w:rPr>
      </w:pPr>
      <w:r>
        <w:rPr>
          <w:rFonts w:hint="eastAsia" w:ascii="黑体" w:hAnsi="黑体" w:eastAsia="黑体" w:cs="黑体"/>
          <w:sz w:val="48"/>
          <w:szCs w:val="48"/>
        </w:rPr>
        <w:t>第一部分</w:t>
      </w:r>
      <w:r>
        <w:rPr>
          <w:rFonts w:ascii="黑体" w:hAnsi="黑体" w:eastAsia="黑体" w:cs="黑体"/>
          <w:sz w:val="48"/>
          <w:szCs w:val="48"/>
        </w:rPr>
        <w:t xml:space="preserve">  </w:t>
      </w:r>
      <w:r>
        <w:rPr>
          <w:rFonts w:hint="eastAsia" w:ascii="黑体" w:hAnsi="黑体" w:eastAsia="黑体" w:cs="黑体"/>
          <w:sz w:val="48"/>
          <w:szCs w:val="48"/>
        </w:rPr>
        <w:t>许昌市公路服务中心概况</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widowControl/>
        <w:ind w:firstLine="643" w:firstLineChars="200"/>
        <w:jc w:val="left"/>
        <w:outlineLvl w:val="1"/>
        <w:rPr>
          <w:rFonts w:ascii="黑体" w:hAnsi="黑体" w:eastAsia="黑体" w:cs="黑体"/>
          <w:kern w:val="0"/>
          <w:sz w:val="32"/>
          <w:szCs w:val="32"/>
        </w:rPr>
      </w:pPr>
      <w:r>
        <w:rPr>
          <w:rFonts w:hint="eastAsia" w:ascii="仿宋_GB2312" w:hAnsi="楷体_GB2312" w:eastAsia="仿宋_GB2312" w:cs="楷体_GB2312"/>
          <w:b/>
          <w:bCs/>
          <w:sz w:val="32"/>
          <w:szCs w:val="32"/>
        </w:rPr>
        <w:t>（一）</w:t>
      </w:r>
      <w:r>
        <w:rPr>
          <w:rFonts w:hint="eastAsia" w:ascii="仿宋_GB2312" w:hAnsi="楷体_GB2312" w:eastAsia="仿宋_GB2312" w:cs="楷体_GB2312"/>
          <w:sz w:val="32"/>
          <w:szCs w:val="32"/>
        </w:rPr>
        <w:t>依法保护路产，负责对公路用地、建筑控制区、公路安全保护区、集镇规划控制区、服务区等进行巡查、制止侵害路产路权行为。</w:t>
      </w:r>
    </w:p>
    <w:p>
      <w:pPr>
        <w:widowControl/>
        <w:ind w:firstLine="643" w:firstLineChars="200"/>
        <w:jc w:val="left"/>
        <w:outlineLvl w:val="1"/>
        <w:rPr>
          <w:rFonts w:ascii="黑体" w:hAnsi="黑体" w:eastAsia="黑体" w:cs="黑体"/>
          <w:kern w:val="0"/>
          <w:sz w:val="32"/>
          <w:szCs w:val="32"/>
        </w:rPr>
      </w:pPr>
      <w:r>
        <w:rPr>
          <w:rFonts w:hint="eastAsia" w:ascii="仿宋_GB2312" w:hAnsi="楷体_GB2312" w:eastAsia="仿宋_GB2312" w:cs="楷体_GB2312"/>
          <w:b/>
          <w:bCs/>
          <w:sz w:val="32"/>
          <w:szCs w:val="32"/>
        </w:rPr>
        <w:t>（二）</w:t>
      </w:r>
      <w:r>
        <w:rPr>
          <w:rFonts w:hint="eastAsia" w:ascii="仿宋_GB2312" w:hAnsi="楷体_GB2312" w:eastAsia="仿宋_GB2312" w:cs="楷体_GB2312"/>
          <w:sz w:val="32"/>
          <w:szCs w:val="32"/>
        </w:rPr>
        <w:t>负责损坏公路、桥梁、隧道及其附属设施的赔（补）偿案件，受理公路行政许可证和行政确认事项，参与公路养护和大中修工程保通工作。</w:t>
      </w:r>
    </w:p>
    <w:p>
      <w:pPr>
        <w:adjustRightInd w:val="0"/>
        <w:snapToGrid w:val="0"/>
        <w:spacing w:line="620" w:lineRule="exact"/>
        <w:ind w:firstLine="472" w:firstLineChars="147"/>
        <w:rPr>
          <w:rFonts w:ascii="仿宋_GB2312" w:hAnsi="楷体_GB2312" w:eastAsia="仿宋_GB2312" w:cs="楷体_GB2312"/>
          <w:sz w:val="32"/>
          <w:szCs w:val="32"/>
        </w:rPr>
      </w:pPr>
      <w:r>
        <w:rPr>
          <w:rFonts w:hint="eastAsia" w:ascii="仿宋_GB2312" w:hAnsi="楷体_GB2312" w:eastAsia="仿宋_GB2312" w:cs="楷体_GB2312"/>
          <w:b/>
          <w:bCs/>
          <w:sz w:val="32"/>
          <w:szCs w:val="32"/>
        </w:rPr>
        <w:t>（三）</w:t>
      </w:r>
      <w:r>
        <w:rPr>
          <w:rFonts w:hint="eastAsia" w:ascii="仿宋_GB2312" w:hAnsi="楷体_GB2312" w:eastAsia="仿宋_GB2312" w:cs="楷体_GB2312"/>
          <w:bCs/>
          <w:sz w:val="32"/>
          <w:szCs w:val="32"/>
        </w:rPr>
        <w:t>负责外环周边区域的大气污染防治巡查、督导等工作。</w:t>
      </w: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二、机构设置</w:t>
      </w:r>
    </w:p>
    <w:p>
      <w:pPr>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许昌市公路服务中心内设机构</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个，包括：办公室、财务室、人事室、路政室、党务室、工会。</w:t>
      </w:r>
    </w:p>
    <w:p>
      <w:pPr>
        <w:adjustRightInd w:val="0"/>
        <w:snapToGrid w:val="0"/>
        <w:spacing w:line="620" w:lineRule="exact"/>
        <w:ind w:firstLine="640" w:firstLineChars="200"/>
        <w:rPr>
          <w:rFonts w:hint="eastAsia" w:ascii="仿宋_GB2312" w:hAnsi="宋体"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年度，许昌市公路服务中心纳入本部门</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年度部门决算编制范围的单位共</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w:t>
      </w:r>
      <w:r>
        <w:rPr>
          <w:rFonts w:hint="eastAsia" w:ascii="仿宋_GB2312" w:hAnsi="宋体" w:eastAsia="仿宋_GB2312" w:cs="仿宋_GB2312"/>
          <w:sz w:val="32"/>
          <w:szCs w:val="32"/>
        </w:rPr>
        <w:t>。</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纳入本部门2019年度部门决算编制范围的单位共一个，具体是：</w:t>
      </w:r>
    </w:p>
    <w:p>
      <w:pPr>
        <w:adjustRightInd w:val="0"/>
        <w:snapToGrid w:val="0"/>
        <w:spacing w:line="620" w:lineRule="exact"/>
        <w:ind w:firstLine="640" w:firstLineChars="200"/>
        <w:rPr>
          <w:rFonts w:hint="eastAsia" w:ascii="仿宋_GB2312" w:hAnsi="宋体"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许昌市公路服务中心</w:t>
      </w:r>
    </w:p>
    <w:p>
      <w:pPr>
        <w:adjustRightInd w:val="0"/>
        <w:snapToGrid w:val="0"/>
        <w:spacing w:line="620" w:lineRule="exact"/>
        <w:ind w:firstLine="640" w:firstLineChars="200"/>
        <w:rPr>
          <w:rFonts w:hint="eastAsia" w:ascii="仿宋_GB2312" w:hAnsi="宋体" w:eastAsia="仿宋_GB2312" w:cs="仿宋_GB2312"/>
          <w:sz w:val="32"/>
          <w:szCs w:val="32"/>
        </w:rPr>
      </w:pPr>
    </w:p>
    <w:p>
      <w:pPr>
        <w:widowControl/>
        <w:jc w:val="left"/>
        <w:rPr>
          <w:rFonts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第二部分</w:t>
      </w:r>
      <w:r>
        <w:rPr>
          <w:rFonts w:ascii="黑体" w:hAnsi="黑体" w:eastAsia="黑体" w:cs="黑体"/>
          <w:sz w:val="48"/>
          <w:szCs w:val="48"/>
        </w:rPr>
        <w:t xml:space="preserve">  2019</w:t>
      </w:r>
      <w:r>
        <w:rPr>
          <w:rFonts w:hint="eastAsia" w:ascii="黑体" w:hAnsi="黑体" w:eastAsia="黑体" w:cs="黑体"/>
          <w:sz w:val="48"/>
          <w:szCs w:val="48"/>
        </w:rPr>
        <w:t>年度部门决算表</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rPr>
          <w:rFonts w:ascii="仿宋_GB2312" w:hAnsi="仿宋_GB2312" w:eastAsia="仿宋_GB2312" w:cs="仿宋_GB2312"/>
          <w:sz w:val="32"/>
          <w:szCs w:val="32"/>
        </w:rPr>
      </w:pPr>
    </w:p>
    <w:tbl>
      <w:tblPr>
        <w:tblStyle w:val="5"/>
        <w:tblW w:w="13493" w:type="dxa"/>
        <w:tblInd w:w="91" w:type="dxa"/>
        <w:tblLayout w:type="autofit"/>
        <w:tblCellMar>
          <w:top w:w="0" w:type="dxa"/>
          <w:left w:w="108" w:type="dxa"/>
          <w:bottom w:w="0" w:type="dxa"/>
          <w:right w:w="108" w:type="dxa"/>
        </w:tblCellMar>
      </w:tblPr>
      <w:tblGrid>
        <w:gridCol w:w="4358"/>
        <w:gridCol w:w="758"/>
        <w:gridCol w:w="1386"/>
        <w:gridCol w:w="4358"/>
        <w:gridCol w:w="758"/>
        <w:gridCol w:w="1875"/>
      </w:tblGrid>
      <w:tr>
        <w:tblPrEx>
          <w:tblCellMar>
            <w:top w:w="0" w:type="dxa"/>
            <w:left w:w="108" w:type="dxa"/>
            <w:bottom w:w="0" w:type="dxa"/>
            <w:right w:w="108" w:type="dxa"/>
          </w:tblCellMar>
        </w:tblPrEx>
        <w:trPr>
          <w:trHeight w:val="403" w:hRule="atLeast"/>
        </w:trPr>
        <w:tc>
          <w:tcPr>
            <w:tcW w:w="13492" w:type="dxa"/>
            <w:gridSpan w:val="6"/>
            <w:tcBorders>
              <w:top w:val="nil"/>
              <w:left w:val="nil"/>
              <w:bottom w:val="nil"/>
              <w:right w:val="nil"/>
            </w:tcBorders>
            <w:noWrap/>
            <w:vAlign w:val="bottom"/>
          </w:tcPr>
          <w:p>
            <w:pPr>
              <w:widowControl/>
              <w:jc w:val="center"/>
              <w:rPr>
                <w:rFonts w:ascii="Arial" w:hAnsi="Arial" w:cs="Arial"/>
                <w:color w:val="000000"/>
                <w:kern w:val="0"/>
                <w:sz w:val="44"/>
                <w:szCs w:val="44"/>
              </w:rPr>
            </w:pPr>
            <w:r>
              <w:rPr>
                <w:rFonts w:hint="eastAsia" w:ascii="宋体" w:hAnsi="宋体" w:cs="Arial"/>
                <w:color w:val="000000"/>
                <w:kern w:val="0"/>
                <w:sz w:val="44"/>
                <w:szCs w:val="44"/>
              </w:rPr>
              <w:t>收入支出决算总表</w:t>
            </w:r>
          </w:p>
        </w:tc>
      </w:tr>
      <w:tr>
        <w:tblPrEx>
          <w:tblCellMar>
            <w:top w:w="0" w:type="dxa"/>
            <w:left w:w="108" w:type="dxa"/>
            <w:bottom w:w="0" w:type="dxa"/>
            <w:right w:w="108" w:type="dxa"/>
          </w:tblCellMar>
        </w:tblPrEx>
        <w:trPr>
          <w:trHeight w:val="263" w:hRule="atLeast"/>
        </w:trPr>
        <w:tc>
          <w:tcPr>
            <w:tcW w:w="43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38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3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75"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01</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trHeight w:val="263" w:hRule="atLeast"/>
        </w:trPr>
        <w:tc>
          <w:tcPr>
            <w:tcW w:w="4358" w:type="dxa"/>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7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38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3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5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75"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18" w:hRule="atLeast"/>
        </w:trPr>
        <w:tc>
          <w:tcPr>
            <w:tcW w:w="6502" w:type="dxa"/>
            <w:gridSpan w:val="3"/>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收入</w:t>
            </w:r>
          </w:p>
        </w:tc>
        <w:tc>
          <w:tcPr>
            <w:tcW w:w="6991" w:type="dxa"/>
            <w:gridSpan w:val="3"/>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支出</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138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金额</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187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金额</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138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187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一、一般公共预算财政拨款收入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144.57</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一、一般公共服务支出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29</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二、政府性基金预算财政拨款收入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二、外交支出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30</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三、上级补助收入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三、国防支出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31</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四、事业收入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四、公共安全支出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32</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五、经营收入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五、教育支出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33</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六、附属单位上缴收入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6</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六、科学技术支出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34</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七、其他收入</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7</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七、文化旅游体育与传媒支出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35</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8</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八、社会保障和就业支出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36</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9</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九、卫生健康支出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37</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10</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十、节能环保支出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38</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11</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十一、城乡社区支出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39</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12</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十二、农林水支出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40</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13</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十三、交通运输支出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41</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127.68</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14</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十四、资源勘探信息等支出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42</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15</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十五、商业服务业等支出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43</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16</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十六、金融支出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44</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17</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十七、援助其他地区支出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45</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18</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十八、自然资源海洋气象等支出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46</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19</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十九、住房保障支出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47</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20</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二十、粮油物资储备支出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48</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21</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二十一、灾害防治及应急管理支出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49</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22</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二十二、其他支出</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50</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23</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51</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本年收入合计</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24</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144.57</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本年支出合计</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52</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140.73</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用事业基金弥补收支差额</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25</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结余分配</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53</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年初结转和结余</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26</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9.40</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年末结转和结余</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54</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13.24</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27</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55</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318" w:hRule="atLeast"/>
        </w:trPr>
        <w:tc>
          <w:tcPr>
            <w:tcW w:w="4358"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28</w:t>
            </w:r>
          </w:p>
        </w:tc>
        <w:tc>
          <w:tcPr>
            <w:tcW w:w="1386"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153.97</w:t>
            </w:r>
          </w:p>
        </w:tc>
        <w:tc>
          <w:tcPr>
            <w:tcW w:w="43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758"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56</w:t>
            </w:r>
          </w:p>
        </w:tc>
        <w:tc>
          <w:tcPr>
            <w:tcW w:w="187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153.97</w:t>
            </w:r>
          </w:p>
        </w:tc>
      </w:tr>
      <w:tr>
        <w:tblPrEx>
          <w:tblCellMar>
            <w:top w:w="0" w:type="dxa"/>
            <w:left w:w="108" w:type="dxa"/>
            <w:bottom w:w="0" w:type="dxa"/>
            <w:right w:w="108" w:type="dxa"/>
          </w:tblCellMar>
        </w:tblPrEx>
        <w:trPr>
          <w:trHeight w:val="318" w:hRule="atLeast"/>
        </w:trPr>
        <w:tc>
          <w:tcPr>
            <w:tcW w:w="13492" w:type="dxa"/>
            <w:gridSpan w:val="6"/>
            <w:tcBorders>
              <w:top w:val="nil"/>
              <w:left w:val="nil"/>
              <w:bottom w:val="nil"/>
              <w:right w:val="nil"/>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注：本表反映部门本年度的总收支和年末结转结余情况。本表金额转换为万元时，因四舍五入可能存在尾差。</w:t>
            </w: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5"/>
        <w:tblW w:w="14108" w:type="dxa"/>
        <w:tblInd w:w="91" w:type="dxa"/>
        <w:tblLayout w:type="autofit"/>
        <w:tblCellMar>
          <w:top w:w="0" w:type="dxa"/>
          <w:left w:w="108" w:type="dxa"/>
          <w:bottom w:w="0" w:type="dxa"/>
          <w:right w:w="108" w:type="dxa"/>
        </w:tblCellMar>
      </w:tblPr>
      <w:tblGrid>
        <w:gridCol w:w="340"/>
        <w:gridCol w:w="340"/>
        <w:gridCol w:w="320"/>
        <w:gridCol w:w="3774"/>
        <w:gridCol w:w="1420"/>
        <w:gridCol w:w="1580"/>
        <w:gridCol w:w="1540"/>
        <w:gridCol w:w="1080"/>
        <w:gridCol w:w="1240"/>
        <w:gridCol w:w="1040"/>
        <w:gridCol w:w="1434"/>
      </w:tblGrid>
      <w:tr>
        <w:tblPrEx>
          <w:tblCellMar>
            <w:top w:w="0" w:type="dxa"/>
            <w:left w:w="108" w:type="dxa"/>
            <w:bottom w:w="0" w:type="dxa"/>
            <w:right w:w="108" w:type="dxa"/>
          </w:tblCellMar>
        </w:tblPrEx>
        <w:trPr>
          <w:trHeight w:val="390" w:hRule="atLeast"/>
        </w:trPr>
        <w:tc>
          <w:tcPr>
            <w:tcW w:w="14108" w:type="dxa"/>
            <w:gridSpan w:val="11"/>
            <w:tcBorders>
              <w:top w:val="nil"/>
              <w:left w:val="nil"/>
              <w:bottom w:val="nil"/>
              <w:right w:val="nil"/>
            </w:tcBorders>
            <w:shd w:val="clear" w:color="auto" w:fill="FFFFFF"/>
            <w:noWrap/>
            <w:vAlign w:val="bottom"/>
          </w:tcPr>
          <w:p>
            <w:pPr>
              <w:widowControl/>
              <w:jc w:val="center"/>
              <w:rPr>
                <w:rFonts w:ascii="宋体" w:cs="Arial"/>
                <w:color w:val="000000"/>
                <w:kern w:val="0"/>
                <w:sz w:val="44"/>
                <w:szCs w:val="44"/>
              </w:rPr>
            </w:pPr>
            <w:r>
              <w:rPr>
                <w:rFonts w:hint="eastAsia" w:ascii="宋体" w:hAnsi="宋体" w:cs="Arial"/>
                <w:color w:val="000000"/>
                <w:kern w:val="0"/>
                <w:sz w:val="44"/>
                <w:szCs w:val="44"/>
              </w:rPr>
              <w:t>收入决算表</w:t>
            </w:r>
          </w:p>
        </w:tc>
      </w:tr>
      <w:tr>
        <w:tblPrEx>
          <w:tblCellMar>
            <w:top w:w="0" w:type="dxa"/>
            <w:left w:w="108" w:type="dxa"/>
            <w:bottom w:w="0" w:type="dxa"/>
            <w:right w:w="108" w:type="dxa"/>
          </w:tblCellMar>
        </w:tblPrEx>
        <w:trPr>
          <w:trHeight w:val="255" w:hRule="atLeast"/>
        </w:trPr>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2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774"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2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5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5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2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34"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02</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trHeight w:val="255" w:hRule="atLeast"/>
        </w:trPr>
        <w:tc>
          <w:tcPr>
            <w:tcW w:w="4774" w:type="dxa"/>
            <w:gridSpan w:val="4"/>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9334" w:type="dxa"/>
            <w:gridSpan w:val="7"/>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p>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4774" w:type="dxa"/>
            <w:gridSpan w:val="4"/>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142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本年收入合计</w:t>
            </w:r>
          </w:p>
        </w:tc>
        <w:tc>
          <w:tcPr>
            <w:tcW w:w="158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财政拨款收入</w:t>
            </w:r>
          </w:p>
        </w:tc>
        <w:tc>
          <w:tcPr>
            <w:tcW w:w="154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上级补助收入</w:t>
            </w:r>
          </w:p>
        </w:tc>
        <w:tc>
          <w:tcPr>
            <w:tcW w:w="108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事业收入</w:t>
            </w:r>
          </w:p>
        </w:tc>
        <w:tc>
          <w:tcPr>
            <w:tcW w:w="124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经营收入</w:t>
            </w:r>
          </w:p>
        </w:tc>
        <w:tc>
          <w:tcPr>
            <w:tcW w:w="104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附属单位上缴收入</w:t>
            </w:r>
          </w:p>
        </w:tc>
        <w:tc>
          <w:tcPr>
            <w:tcW w:w="1434"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其他收入</w:t>
            </w:r>
          </w:p>
        </w:tc>
      </w:tr>
      <w:tr>
        <w:tblPrEx>
          <w:tblCellMar>
            <w:top w:w="0" w:type="dxa"/>
            <w:left w:w="108" w:type="dxa"/>
            <w:bottom w:w="0" w:type="dxa"/>
            <w:right w:w="108" w:type="dxa"/>
          </w:tblCellMar>
        </w:tblPrEx>
        <w:trPr>
          <w:trHeight w:val="312" w:hRule="atLeast"/>
        </w:trPr>
        <w:tc>
          <w:tcPr>
            <w:tcW w:w="1000"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3774"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14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3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312" w:hRule="atLeast"/>
        </w:trPr>
        <w:tc>
          <w:tcPr>
            <w:tcW w:w="10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774"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3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312" w:hRule="atLeast"/>
        </w:trPr>
        <w:tc>
          <w:tcPr>
            <w:tcW w:w="10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774"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3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308" w:hRule="atLeast"/>
        </w:trPr>
        <w:tc>
          <w:tcPr>
            <w:tcW w:w="4774" w:type="dxa"/>
            <w:gridSpan w:val="4"/>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142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58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54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08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24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04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6</w:t>
            </w:r>
          </w:p>
        </w:tc>
        <w:tc>
          <w:tcPr>
            <w:tcW w:w="1434"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7</w:t>
            </w:r>
          </w:p>
        </w:tc>
      </w:tr>
      <w:tr>
        <w:tblPrEx>
          <w:tblCellMar>
            <w:top w:w="0" w:type="dxa"/>
            <w:left w:w="108" w:type="dxa"/>
            <w:bottom w:w="0" w:type="dxa"/>
            <w:right w:w="108" w:type="dxa"/>
          </w:tblCellMar>
        </w:tblPrEx>
        <w:trPr>
          <w:trHeight w:val="308" w:hRule="atLeast"/>
        </w:trPr>
        <w:tc>
          <w:tcPr>
            <w:tcW w:w="4774" w:type="dxa"/>
            <w:gridSpan w:val="4"/>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hAnsi="宋体" w:cs="Arial"/>
                <w:b/>
                <w:bCs/>
                <w:color w:val="000000"/>
                <w:kern w:val="0"/>
                <w:sz w:val="22"/>
              </w:rPr>
              <w:t>144.57</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hAnsi="宋体" w:cs="Arial"/>
                <w:b/>
                <w:bCs/>
                <w:color w:val="000000"/>
                <w:kern w:val="0"/>
                <w:sz w:val="22"/>
              </w:rPr>
              <w:t>144.57</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一般公共服务支出</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20129</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群众团体事务</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2012906</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工会事务</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208</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社会保障和就业支出</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10.00</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10.00</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20805</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行政事业单位离退休</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10.00</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10.00</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2080505</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机关事业单位基本养老保险缴费支出</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10.00</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10.00</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210</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卫生健康支出</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3.85</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3.85</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21011</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行政事业单位医疗</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3.85</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3.85</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2101102</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事业单位医疗</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3.85</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3.85</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交通运输支出</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130.05</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130.05</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21401</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公路水路运输</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117.23</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117.23</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2140110</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公路和运输安全</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15.36</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15.36</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2140112</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公路运输管理</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101.87</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101.87</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21404</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成品油价格改革对交通运输的补贴</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12.82</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12.82</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00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2140499</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成品油价格改革补贴其他支出</w:t>
            </w:r>
          </w:p>
        </w:tc>
        <w:tc>
          <w:tcPr>
            <w:tcW w:w="14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12.82</w:t>
            </w:r>
          </w:p>
        </w:tc>
        <w:tc>
          <w:tcPr>
            <w:tcW w:w="15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12.82</w:t>
            </w:r>
          </w:p>
        </w:tc>
        <w:tc>
          <w:tcPr>
            <w:tcW w:w="15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14108" w:type="dxa"/>
            <w:gridSpan w:val="11"/>
            <w:tcBorders>
              <w:top w:val="nil"/>
              <w:left w:val="nil"/>
              <w:bottom w:val="nil"/>
              <w:right w:val="nil"/>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注：本表反映部门本年度取得的各项收入情况。本表金额转换为万元时，因四舍五入可能存在尾差。</w:t>
            </w: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5"/>
        <w:tblW w:w="14534" w:type="dxa"/>
        <w:tblInd w:w="91" w:type="dxa"/>
        <w:tblLayout w:type="autofit"/>
        <w:tblCellMar>
          <w:top w:w="0" w:type="dxa"/>
          <w:left w:w="108" w:type="dxa"/>
          <w:bottom w:w="0" w:type="dxa"/>
          <w:right w:w="108" w:type="dxa"/>
        </w:tblCellMar>
      </w:tblPr>
      <w:tblGrid>
        <w:gridCol w:w="340"/>
        <w:gridCol w:w="340"/>
        <w:gridCol w:w="340"/>
        <w:gridCol w:w="3774"/>
        <w:gridCol w:w="1440"/>
        <w:gridCol w:w="1360"/>
        <w:gridCol w:w="1080"/>
        <w:gridCol w:w="1600"/>
        <w:gridCol w:w="1440"/>
        <w:gridCol w:w="1800"/>
        <w:gridCol w:w="1020"/>
      </w:tblGrid>
      <w:tr>
        <w:tblPrEx>
          <w:tblCellMar>
            <w:top w:w="0" w:type="dxa"/>
            <w:left w:w="108" w:type="dxa"/>
            <w:bottom w:w="0" w:type="dxa"/>
            <w:right w:w="108" w:type="dxa"/>
          </w:tblCellMar>
        </w:tblPrEx>
        <w:trPr>
          <w:trHeight w:val="390" w:hRule="atLeast"/>
        </w:trPr>
        <w:tc>
          <w:tcPr>
            <w:tcW w:w="14534" w:type="dxa"/>
            <w:gridSpan w:val="11"/>
            <w:tcBorders>
              <w:top w:val="nil"/>
              <w:left w:val="nil"/>
              <w:bottom w:val="nil"/>
              <w:right w:val="nil"/>
            </w:tcBorders>
            <w:noWrap/>
            <w:vAlign w:val="bottom"/>
          </w:tcPr>
          <w:p>
            <w:pPr>
              <w:widowControl/>
              <w:jc w:val="center"/>
              <w:rPr>
                <w:rFonts w:ascii="Arial" w:hAnsi="Arial" w:cs="Arial"/>
                <w:color w:val="000000"/>
                <w:kern w:val="0"/>
                <w:sz w:val="44"/>
                <w:szCs w:val="44"/>
              </w:rPr>
            </w:pPr>
            <w:r>
              <w:rPr>
                <w:rFonts w:hint="eastAsia" w:ascii="宋体" w:hAnsi="宋体" w:cs="Arial"/>
                <w:color w:val="000000"/>
                <w:kern w:val="0"/>
                <w:sz w:val="44"/>
                <w:szCs w:val="44"/>
              </w:rPr>
              <w:t>支出决算表</w:t>
            </w:r>
          </w:p>
        </w:tc>
      </w:tr>
      <w:tr>
        <w:tblPrEx>
          <w:tblCellMar>
            <w:top w:w="0" w:type="dxa"/>
            <w:left w:w="108" w:type="dxa"/>
            <w:bottom w:w="0" w:type="dxa"/>
            <w:right w:w="108" w:type="dxa"/>
          </w:tblCellMar>
        </w:tblPrEx>
        <w:trPr>
          <w:trHeight w:val="255" w:hRule="atLeast"/>
        </w:trPr>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774"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3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800"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03</w:t>
            </w:r>
            <w:r>
              <w:rPr>
                <w:rFonts w:hint="eastAsia" w:ascii="宋体" w:hAnsi="宋体" w:cs="Arial"/>
                <w:color w:val="000000"/>
                <w:kern w:val="0"/>
                <w:sz w:val="20"/>
                <w:szCs w:val="20"/>
              </w:rPr>
              <w:t>表</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55" w:hRule="atLeast"/>
        </w:trPr>
        <w:tc>
          <w:tcPr>
            <w:tcW w:w="4794" w:type="dxa"/>
            <w:gridSpan w:val="4"/>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14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3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800"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4794" w:type="dxa"/>
            <w:gridSpan w:val="4"/>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144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本年支出合计</w:t>
            </w:r>
          </w:p>
        </w:tc>
        <w:tc>
          <w:tcPr>
            <w:tcW w:w="136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108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c>
          <w:tcPr>
            <w:tcW w:w="160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上缴上级支出</w:t>
            </w:r>
          </w:p>
        </w:tc>
        <w:tc>
          <w:tcPr>
            <w:tcW w:w="144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经营支出</w:t>
            </w:r>
          </w:p>
        </w:tc>
        <w:tc>
          <w:tcPr>
            <w:tcW w:w="180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对附属单位补助支出</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3774"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3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774"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3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774"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3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4794" w:type="dxa"/>
            <w:gridSpan w:val="4"/>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144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3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08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60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44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80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6</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4794" w:type="dxa"/>
            <w:gridSpan w:val="4"/>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4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hAnsi="宋体" w:cs="Arial"/>
                <w:b/>
                <w:bCs/>
                <w:color w:val="000000"/>
                <w:kern w:val="0"/>
                <w:sz w:val="22"/>
              </w:rPr>
              <w:t>140.73</w:t>
            </w:r>
          </w:p>
        </w:tc>
        <w:tc>
          <w:tcPr>
            <w:tcW w:w="13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hAnsi="宋体" w:cs="Arial"/>
                <w:b/>
                <w:bCs/>
                <w:color w:val="000000"/>
                <w:kern w:val="0"/>
                <w:sz w:val="22"/>
              </w:rPr>
              <w:t>140.73</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6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4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8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w:t>
            </w:r>
          </w:p>
        </w:tc>
        <w:tc>
          <w:tcPr>
            <w:tcW w:w="3774"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一般公共服务支出</w:t>
            </w:r>
          </w:p>
        </w:tc>
        <w:tc>
          <w:tcPr>
            <w:tcW w:w="14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3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0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20129</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群众团体事务</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2012906</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工会事务</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社会保障和就业支出</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20805</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行政事业单位离退休</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2080505</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机关事业单位基本养老保险缴费支出</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卫生健康支出</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21011</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行政事业单位医疗</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2101102</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事业单位医疗</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214</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交通运输支出</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127.68</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127.68</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21401</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公路水路运输</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111.44</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111.44</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2140110</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公路和运输安全</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14.72</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14.72</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2140112</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公路运输管理</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96.72</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96.72</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21404</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成品油价格改革对交通运输的补贴</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2140499</w:t>
            </w:r>
          </w:p>
        </w:tc>
        <w:tc>
          <w:tcPr>
            <w:tcW w:w="3774"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成品油价格改革补贴其他支出</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13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80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3514" w:type="dxa"/>
            <w:gridSpan w:val="10"/>
            <w:tcBorders>
              <w:top w:val="nil"/>
              <w:left w:val="nil"/>
              <w:bottom w:val="nil"/>
              <w:right w:val="nil"/>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注：本表反映部门本年度各项支出情况。本表金额转换为万元时，因四舍五入可能存在尾差。</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5"/>
        <w:tblW w:w="13594" w:type="dxa"/>
        <w:tblInd w:w="91" w:type="dxa"/>
        <w:tblLayout w:type="autofit"/>
        <w:tblCellMar>
          <w:top w:w="0" w:type="dxa"/>
          <w:left w:w="108" w:type="dxa"/>
          <w:bottom w:w="0" w:type="dxa"/>
          <w:right w:w="108" w:type="dxa"/>
        </w:tblCellMar>
      </w:tblPr>
      <w:tblGrid>
        <w:gridCol w:w="3120"/>
        <w:gridCol w:w="580"/>
        <w:gridCol w:w="940"/>
        <w:gridCol w:w="3334"/>
        <w:gridCol w:w="580"/>
        <w:gridCol w:w="1680"/>
        <w:gridCol w:w="1680"/>
        <w:gridCol w:w="1680"/>
      </w:tblGrid>
      <w:tr>
        <w:tblPrEx>
          <w:tblCellMar>
            <w:top w:w="0" w:type="dxa"/>
            <w:left w:w="108" w:type="dxa"/>
            <w:bottom w:w="0" w:type="dxa"/>
            <w:right w:w="108" w:type="dxa"/>
          </w:tblCellMar>
        </w:tblPrEx>
        <w:trPr>
          <w:trHeight w:val="390" w:hRule="atLeast"/>
        </w:trPr>
        <w:tc>
          <w:tcPr>
            <w:tcW w:w="13594" w:type="dxa"/>
            <w:gridSpan w:val="8"/>
            <w:tcBorders>
              <w:top w:val="nil"/>
              <w:left w:val="nil"/>
              <w:bottom w:val="nil"/>
              <w:right w:val="nil"/>
            </w:tcBorders>
            <w:shd w:val="clear" w:color="auto" w:fill="FFFFFF"/>
            <w:noWrap/>
            <w:vAlign w:val="bottom"/>
          </w:tcPr>
          <w:p>
            <w:pPr>
              <w:widowControl/>
              <w:rPr>
                <w:rFonts w:ascii="Arial" w:hAnsi="Arial" w:cs="Arial"/>
                <w:color w:val="000000"/>
                <w:kern w:val="0"/>
                <w:sz w:val="20"/>
                <w:szCs w:val="20"/>
              </w:rPr>
            </w:pPr>
          </w:p>
          <w:p>
            <w:pPr>
              <w:widowControl/>
              <w:jc w:val="center"/>
              <w:rPr>
                <w:rFonts w:ascii="宋体" w:cs="Arial"/>
                <w:color w:val="000000"/>
                <w:kern w:val="0"/>
                <w:sz w:val="44"/>
                <w:szCs w:val="44"/>
              </w:rPr>
            </w:pPr>
            <w:r>
              <w:rPr>
                <w:rFonts w:hint="eastAsia" w:ascii="宋体" w:hAnsi="宋体" w:cs="Arial"/>
                <w:color w:val="000000"/>
                <w:kern w:val="0"/>
                <w:sz w:val="44"/>
                <w:szCs w:val="44"/>
              </w:rPr>
              <w:t>财政拨款收入支出决算总表</w:t>
            </w:r>
          </w:p>
        </w:tc>
      </w:tr>
      <w:tr>
        <w:tblPrEx>
          <w:tblCellMar>
            <w:top w:w="0" w:type="dxa"/>
            <w:left w:w="108" w:type="dxa"/>
            <w:bottom w:w="0" w:type="dxa"/>
            <w:right w:w="108" w:type="dxa"/>
          </w:tblCellMar>
        </w:tblPrEx>
        <w:trPr>
          <w:trHeight w:val="255" w:hRule="atLeast"/>
        </w:trPr>
        <w:tc>
          <w:tcPr>
            <w:tcW w:w="312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5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334"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5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04</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trHeight w:val="255" w:hRule="atLeast"/>
        </w:trPr>
        <w:tc>
          <w:tcPr>
            <w:tcW w:w="3120" w:type="dxa"/>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5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334"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5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4640" w:type="dxa"/>
            <w:gridSpan w:val="3"/>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收</w:t>
            </w:r>
            <w:r>
              <w:rPr>
                <w:rFonts w:ascii="宋体" w:hAnsi="宋体" w:cs="Arial"/>
                <w:color w:val="000000"/>
                <w:kern w:val="0"/>
                <w:sz w:val="22"/>
              </w:rPr>
              <w:t xml:space="preserve">     </w:t>
            </w:r>
            <w:r>
              <w:rPr>
                <w:rFonts w:hint="eastAsia" w:ascii="宋体" w:hAnsi="宋体" w:cs="Arial"/>
                <w:color w:val="000000"/>
                <w:kern w:val="0"/>
                <w:sz w:val="22"/>
              </w:rPr>
              <w:t>入</w:t>
            </w:r>
          </w:p>
        </w:tc>
        <w:tc>
          <w:tcPr>
            <w:tcW w:w="8954" w:type="dxa"/>
            <w:gridSpan w:val="5"/>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支</w:t>
            </w:r>
            <w:r>
              <w:rPr>
                <w:rFonts w:ascii="宋体" w:hAnsi="宋体" w:cs="Arial"/>
                <w:color w:val="000000"/>
                <w:kern w:val="0"/>
                <w:sz w:val="22"/>
              </w:rPr>
              <w:t xml:space="preserve">     </w:t>
            </w:r>
            <w:r>
              <w:rPr>
                <w:rFonts w:hint="eastAsia" w:ascii="宋体" w:hAnsi="宋体" w:cs="Arial"/>
                <w:color w:val="000000"/>
                <w:kern w:val="0"/>
                <w:sz w:val="22"/>
              </w:rPr>
              <w:t>出</w:t>
            </w:r>
          </w:p>
        </w:tc>
      </w:tr>
      <w:tr>
        <w:tblPrEx>
          <w:tblCellMar>
            <w:top w:w="0" w:type="dxa"/>
            <w:left w:w="108" w:type="dxa"/>
            <w:bottom w:w="0" w:type="dxa"/>
            <w:right w:w="108" w:type="dxa"/>
          </w:tblCellMar>
        </w:tblPrEx>
        <w:trPr>
          <w:trHeight w:val="312" w:hRule="atLeast"/>
        </w:trPr>
        <w:tc>
          <w:tcPr>
            <w:tcW w:w="3120" w:type="dxa"/>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5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94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金额</w:t>
            </w:r>
          </w:p>
        </w:tc>
        <w:tc>
          <w:tcPr>
            <w:tcW w:w="3334"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5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1680"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6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一般公共预算财政拨款</w:t>
            </w:r>
          </w:p>
        </w:tc>
        <w:tc>
          <w:tcPr>
            <w:tcW w:w="16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政府性基金预算财政拨款</w:t>
            </w:r>
          </w:p>
        </w:tc>
      </w:tr>
      <w:tr>
        <w:tblPrEx>
          <w:tblCellMar>
            <w:top w:w="0" w:type="dxa"/>
            <w:left w:w="108" w:type="dxa"/>
            <w:bottom w:w="0" w:type="dxa"/>
            <w:right w:w="108" w:type="dxa"/>
          </w:tblCellMar>
        </w:tblPrEx>
        <w:trPr>
          <w:trHeight w:val="615" w:hRule="atLeast"/>
        </w:trPr>
        <w:tc>
          <w:tcPr>
            <w:tcW w:w="312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5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94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3334"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5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94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一、一般公共预算财政拨款</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144.57</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一、一般公共服务支出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二、政府性基金预算财政拨款</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二、外交支出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31</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三、国防支出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32</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四、公共安全支出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33</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五、教育支出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34</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6</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六、科学技术支出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35</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7</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七、文化旅游体育与传媒支出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36</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8</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八、社会保障和就业支出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9</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九、卫生健康支出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10</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十、节能环保支出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39</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11</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十一、城乡社区支出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12</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十二、农林水支出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41</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13</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十三、交通运输支出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42</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127.68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127.68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14</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十四、资源勘探信息等支出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43</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15</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十五、商业服务业等支出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44</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16</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十六、金融支出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45</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17</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十七、援助其他地区支出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46</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18</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十八、自然资源海洋气象等支出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19</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十九、住房保障支出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20</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二十、粮油物资储备支出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49</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21</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二十一、灾害防治及应急管理支出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22</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二十二、其他支出</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51</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23</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52</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本年收入合计</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24</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144.57</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本年支出合计</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53</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140.73</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140.73</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年初财政拨款结转和结余</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25</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9.40</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年末财政拨款结转和结余</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54</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13.24</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13.24</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一、一般公共预算财政拨款</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26</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9.40</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55</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二、政府性基金预算财政拨款</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27</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56</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28</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308" w:hRule="atLeast"/>
        </w:trPr>
        <w:tc>
          <w:tcPr>
            <w:tcW w:w="3120"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29</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153.97</w:t>
            </w:r>
          </w:p>
        </w:tc>
        <w:tc>
          <w:tcPr>
            <w:tcW w:w="333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5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58</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153.97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153.97</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555" w:hRule="atLeast"/>
        </w:trPr>
        <w:tc>
          <w:tcPr>
            <w:tcW w:w="13594" w:type="dxa"/>
            <w:gridSpan w:val="8"/>
            <w:tcBorders>
              <w:top w:val="nil"/>
              <w:left w:val="nil"/>
              <w:bottom w:val="nil"/>
              <w:right w:val="nil"/>
            </w:tcBorders>
            <w:shd w:val="clear" w:color="auto" w:fill="FFFFFF"/>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注：本表反映部门本年度一般公共预算财政拨款和政府性基金预算财政拨款的总收支和年末结转结余情况。本表金额转换为万元时，因四舍五入可能存在尾差。</w:t>
            </w: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5"/>
        <w:tblW w:w="17240" w:type="dxa"/>
        <w:tblInd w:w="91" w:type="dxa"/>
        <w:tblLayout w:type="autofit"/>
        <w:tblCellMar>
          <w:top w:w="0" w:type="dxa"/>
          <w:left w:w="108" w:type="dxa"/>
          <w:bottom w:w="0" w:type="dxa"/>
          <w:right w:w="108" w:type="dxa"/>
        </w:tblCellMar>
      </w:tblPr>
      <w:tblGrid>
        <w:gridCol w:w="350"/>
        <w:gridCol w:w="350"/>
        <w:gridCol w:w="66"/>
        <w:gridCol w:w="274"/>
        <w:gridCol w:w="263"/>
        <w:gridCol w:w="2797"/>
        <w:gridCol w:w="940"/>
        <w:gridCol w:w="222"/>
        <w:gridCol w:w="544"/>
        <w:gridCol w:w="1720"/>
        <w:gridCol w:w="514"/>
        <w:gridCol w:w="900"/>
        <w:gridCol w:w="766"/>
        <w:gridCol w:w="271"/>
        <w:gridCol w:w="2365"/>
        <w:gridCol w:w="695"/>
        <w:gridCol w:w="319"/>
        <w:gridCol w:w="1904"/>
        <w:gridCol w:w="1020"/>
        <w:gridCol w:w="960"/>
      </w:tblGrid>
      <w:tr>
        <w:tblPrEx>
          <w:tblCellMar>
            <w:top w:w="0" w:type="dxa"/>
            <w:left w:w="108" w:type="dxa"/>
            <w:bottom w:w="0" w:type="dxa"/>
            <w:right w:w="108" w:type="dxa"/>
          </w:tblCellMar>
        </w:tblPrEx>
        <w:trPr>
          <w:gridAfter w:val="3"/>
          <w:wAfter w:w="3884" w:type="dxa"/>
          <w:trHeight w:val="301" w:hRule="atLeast"/>
        </w:trPr>
        <w:tc>
          <w:tcPr>
            <w:tcW w:w="13356" w:type="dxa"/>
            <w:gridSpan w:val="17"/>
            <w:tcBorders>
              <w:top w:val="nil"/>
              <w:left w:val="nil"/>
              <w:bottom w:val="nil"/>
            </w:tcBorders>
            <w:shd w:val="clear" w:color="auto" w:fill="FFFFFF"/>
            <w:noWrap/>
            <w:vAlign w:val="bottom"/>
          </w:tcPr>
          <w:p>
            <w:pPr>
              <w:widowControl/>
              <w:jc w:val="center"/>
              <w:rPr>
                <w:rFonts w:ascii="宋体" w:cs="Arial"/>
                <w:color w:val="000000"/>
                <w:kern w:val="0"/>
                <w:sz w:val="44"/>
                <w:szCs w:val="44"/>
              </w:rPr>
            </w:pPr>
            <w:r>
              <w:rPr>
                <w:rFonts w:hint="eastAsia" w:ascii="宋体" w:hAnsi="宋体" w:cs="Arial"/>
                <w:color w:val="000000"/>
                <w:kern w:val="0"/>
                <w:sz w:val="44"/>
                <w:szCs w:val="44"/>
              </w:rPr>
              <w:t>一般公共预算财政拨款支出决算表</w:t>
            </w:r>
          </w:p>
        </w:tc>
      </w:tr>
      <w:tr>
        <w:tblPrEx>
          <w:tblCellMar>
            <w:top w:w="0" w:type="dxa"/>
            <w:left w:w="108" w:type="dxa"/>
            <w:bottom w:w="0" w:type="dxa"/>
            <w:right w:w="108" w:type="dxa"/>
          </w:tblCellMar>
        </w:tblPrEx>
        <w:trPr>
          <w:gridAfter w:val="3"/>
          <w:wAfter w:w="3884" w:type="dxa"/>
          <w:trHeight w:val="230" w:hRule="atLeast"/>
        </w:trPr>
        <w:tc>
          <w:tcPr>
            <w:tcW w:w="35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5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40"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4222" w:type="dxa"/>
            <w:gridSpan w:val="4"/>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264"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451" w:type="dxa"/>
            <w:gridSpan w:val="4"/>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365"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05</w:t>
            </w:r>
            <w:r>
              <w:rPr>
                <w:rFonts w:hint="eastAsia" w:ascii="宋体" w:hAnsi="宋体" w:cs="Arial"/>
                <w:color w:val="000000"/>
                <w:kern w:val="0"/>
                <w:sz w:val="20"/>
                <w:szCs w:val="20"/>
              </w:rPr>
              <w:t>表</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158" w:hRule="atLeast"/>
        </w:trPr>
        <w:tc>
          <w:tcPr>
            <w:tcW w:w="5262" w:type="dxa"/>
            <w:gridSpan w:val="8"/>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2264"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451" w:type="dxa"/>
            <w:gridSpan w:val="4"/>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365"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5262" w:type="dxa"/>
            <w:gridSpan w:val="8"/>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7080" w:type="dxa"/>
            <w:gridSpan w:val="7"/>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本年支出</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303" w:type="dxa"/>
            <w:gridSpan w:val="5"/>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3959" w:type="dxa"/>
            <w:gridSpan w:val="3"/>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2264"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2451" w:type="dxa"/>
            <w:gridSpan w:val="4"/>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2365"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51" w:hRule="atLeast"/>
        </w:trPr>
        <w:tc>
          <w:tcPr>
            <w:tcW w:w="1303" w:type="dxa"/>
            <w:gridSpan w:val="5"/>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959"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264"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451" w:type="dxa"/>
            <w:gridSpan w:val="4"/>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303" w:type="dxa"/>
            <w:gridSpan w:val="5"/>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959"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264"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451" w:type="dxa"/>
            <w:gridSpan w:val="4"/>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5262" w:type="dxa"/>
            <w:gridSpan w:val="8"/>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2264"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2451" w:type="dxa"/>
            <w:gridSpan w:val="4"/>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236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5262" w:type="dxa"/>
            <w:gridSpan w:val="8"/>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hAnsi="宋体" w:cs="Arial"/>
                <w:b/>
                <w:bCs/>
                <w:color w:val="000000"/>
                <w:kern w:val="0"/>
                <w:sz w:val="22"/>
              </w:rPr>
              <w:t>140.73</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hAnsi="宋体" w:cs="Arial"/>
                <w:b/>
                <w:bCs/>
                <w:color w:val="000000"/>
                <w:kern w:val="0"/>
                <w:sz w:val="22"/>
              </w:rPr>
              <w:t>140.73</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一般公共服务支出</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20129</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群众团体事务</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2012906</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工会事务</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208</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社会保障和就业支出</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20805</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行政事业单位离退休</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2080505</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机关事业单位基本养老保险缴费支出</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9.00</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210</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卫生健康支出</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21011</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行政事业单位医疗</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2101102</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事业单位医疗</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交通运输支出</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127.68</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127.68</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21401</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公路水路运输</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111.44</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111.44</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2140110</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公路和运输安全</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14.72</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14.72</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2140112</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公路运输管理</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96.72</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96.72</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21404</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成品油价格改革对交通运输的补贴</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gridAfter w:val="3"/>
          <w:wAfter w:w="3884" w:type="dxa"/>
          <w:trHeight w:val="278" w:hRule="atLeast"/>
        </w:trPr>
        <w:tc>
          <w:tcPr>
            <w:tcW w:w="1040" w:type="dxa"/>
            <w:gridSpan w:val="4"/>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2140499</w:t>
            </w:r>
          </w:p>
        </w:tc>
        <w:tc>
          <w:tcPr>
            <w:tcW w:w="4222" w:type="dxa"/>
            <w:gridSpan w:val="4"/>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成品油价格改革补贴其他支出</w:t>
            </w:r>
          </w:p>
        </w:tc>
        <w:tc>
          <w:tcPr>
            <w:tcW w:w="2264"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2451" w:type="dxa"/>
            <w:gridSpan w:val="4"/>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16.23</w:t>
            </w:r>
          </w:p>
        </w:tc>
        <w:tc>
          <w:tcPr>
            <w:tcW w:w="2365"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14" w:type="dxa"/>
            <w:gridSpan w:val="2"/>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90" w:hRule="atLeast"/>
        </w:trPr>
        <w:tc>
          <w:tcPr>
            <w:tcW w:w="15260" w:type="dxa"/>
            <w:gridSpan w:val="18"/>
            <w:tcBorders>
              <w:top w:val="nil"/>
              <w:left w:val="nil"/>
              <w:bottom w:val="nil"/>
              <w:right w:val="nil"/>
            </w:tcBorders>
            <w:shd w:val="clear" w:color="auto" w:fill="FFFFFF"/>
            <w:noWrap/>
            <w:vAlign w:val="bottom"/>
          </w:tcPr>
          <w:p>
            <w:pPr>
              <w:widowControl/>
              <w:jc w:val="center"/>
              <w:rPr>
                <w:rFonts w:ascii="宋体" w:cs="Arial"/>
                <w:color w:val="000000"/>
                <w:kern w:val="0"/>
                <w:sz w:val="44"/>
                <w:szCs w:val="44"/>
              </w:rPr>
            </w:pPr>
            <w:r>
              <w:rPr>
                <w:rFonts w:hint="eastAsia" w:ascii="宋体" w:hAnsi="宋体" w:cs="Arial"/>
                <w:color w:val="000000"/>
                <w:kern w:val="0"/>
                <w:sz w:val="44"/>
                <w:szCs w:val="44"/>
              </w:rPr>
              <w:t>一般公共预算财政拨款基本支出决算表</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55" w:hRule="atLeast"/>
        </w:trPr>
        <w:tc>
          <w:tcPr>
            <w:tcW w:w="766" w:type="dxa"/>
            <w:gridSpan w:val="3"/>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334" w:type="dxa"/>
            <w:gridSpan w:val="3"/>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766"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234"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766"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331" w:type="dxa"/>
            <w:gridSpan w:val="3"/>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223" w:type="dxa"/>
            <w:gridSpan w:val="2"/>
            <w:tcBorders>
              <w:top w:val="nil"/>
              <w:left w:val="nil"/>
              <w:bottom w:val="nil"/>
              <w:right w:val="nil"/>
            </w:tcBorders>
            <w:shd w:val="clear" w:color="auto" w:fill="FFFFFF"/>
            <w:noWrap/>
            <w:vAlign w:val="bottom"/>
          </w:tcPr>
          <w:p>
            <w:pPr>
              <w:widowControl/>
              <w:jc w:val="right"/>
              <w:rPr>
                <w:rFonts w:ascii="宋体" w:cs="Arial"/>
                <w:color w:val="000000"/>
                <w:kern w:val="0"/>
                <w:sz w:val="18"/>
                <w:szCs w:val="18"/>
              </w:rPr>
            </w:pPr>
            <w:r>
              <w:rPr>
                <w:rFonts w:hint="eastAsia" w:ascii="宋体" w:hAnsi="宋体" w:cs="Arial"/>
                <w:color w:val="000000"/>
                <w:kern w:val="0"/>
                <w:sz w:val="18"/>
                <w:szCs w:val="18"/>
              </w:rPr>
              <w:t>公开</w:t>
            </w:r>
            <w:r>
              <w:rPr>
                <w:rFonts w:ascii="宋体" w:hAnsi="宋体" w:cs="Arial"/>
                <w:color w:val="000000"/>
                <w:kern w:val="0"/>
                <w:sz w:val="18"/>
                <w:szCs w:val="18"/>
              </w:rPr>
              <w:t>06</w:t>
            </w:r>
            <w:r>
              <w:rPr>
                <w:rFonts w:hint="eastAsia" w:ascii="宋体" w:hAnsi="宋体" w:cs="Arial"/>
                <w:color w:val="000000"/>
                <w:kern w:val="0"/>
                <w:sz w:val="18"/>
                <w:szCs w:val="18"/>
              </w:rPr>
              <w:t>表</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255" w:hRule="atLeast"/>
        </w:trPr>
        <w:tc>
          <w:tcPr>
            <w:tcW w:w="4100" w:type="dxa"/>
            <w:gridSpan w:val="6"/>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9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766"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234" w:type="dxa"/>
            <w:gridSpan w:val="2"/>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766"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331" w:type="dxa"/>
            <w:gridSpan w:val="3"/>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223" w:type="dxa"/>
            <w:gridSpan w:val="2"/>
            <w:tcBorders>
              <w:top w:val="nil"/>
              <w:left w:val="nil"/>
              <w:bottom w:val="nil"/>
              <w:right w:val="nil"/>
            </w:tcBorders>
            <w:shd w:val="clear" w:color="auto" w:fill="FFFFFF"/>
            <w:noWrap/>
            <w:vAlign w:val="bottom"/>
          </w:tcPr>
          <w:p>
            <w:pPr>
              <w:widowControl/>
              <w:jc w:val="right"/>
              <w:rPr>
                <w:rFonts w:ascii="宋体" w:cs="Arial"/>
                <w:color w:val="000000"/>
                <w:kern w:val="0"/>
                <w:sz w:val="18"/>
                <w:szCs w:val="18"/>
              </w:rPr>
            </w:pPr>
            <w:r>
              <w:rPr>
                <w:rFonts w:hint="eastAsia" w:ascii="宋体" w:hAnsi="宋体" w:cs="Arial"/>
                <w:color w:val="000000"/>
                <w:kern w:val="0"/>
                <w:sz w:val="18"/>
                <w:szCs w:val="18"/>
              </w:rPr>
              <w:t>金额单位：万元</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5040" w:type="dxa"/>
            <w:gridSpan w:val="7"/>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人员经费</w:t>
            </w:r>
          </w:p>
        </w:tc>
        <w:tc>
          <w:tcPr>
            <w:tcW w:w="10220" w:type="dxa"/>
            <w:gridSpan w:val="11"/>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公用经费</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科目编码</w:t>
            </w:r>
          </w:p>
        </w:tc>
        <w:tc>
          <w:tcPr>
            <w:tcW w:w="3334" w:type="dxa"/>
            <w:gridSpan w:val="3"/>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94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决算数</w:t>
            </w:r>
          </w:p>
        </w:tc>
        <w:tc>
          <w:tcPr>
            <w:tcW w:w="766"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科目编码</w:t>
            </w:r>
          </w:p>
        </w:tc>
        <w:tc>
          <w:tcPr>
            <w:tcW w:w="2234"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90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决算数</w:t>
            </w:r>
          </w:p>
        </w:tc>
        <w:tc>
          <w:tcPr>
            <w:tcW w:w="766"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科目编码</w:t>
            </w:r>
          </w:p>
        </w:tc>
        <w:tc>
          <w:tcPr>
            <w:tcW w:w="3331" w:type="dxa"/>
            <w:gridSpan w:val="3"/>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2223"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决算数</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3334"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94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766"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234"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90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766"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3331"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223"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工资福利支出</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134.15</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商品和服务支出</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6.58</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307</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债务利息及费用支出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30101</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基本工资</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31.75</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30201</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办公费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1.46</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30701</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国内债务付息</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30102</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津贴补贴</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25.84</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30202</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印刷费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30702</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国外债务付息</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30103</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奖金</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34.16</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30203</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咨询费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资本性支出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30106</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伙食补助费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30204</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手续费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31001</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房屋建筑物购建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30107</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绩效工资</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5.05</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30205</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水费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31002</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办公设备购置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30108</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机关事业单位基本养老保险缴费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10.29</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30206</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电费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31003</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专用设备购置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30109</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职业年金缴费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5.58</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30207</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邮电费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0.15</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31005</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基础设施建设</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30110</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职工基本医疗保险缴费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3.38</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30208</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取暖费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31006</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大型修缮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30111</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公务员医疗补助缴费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30209</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物业管理费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31007</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信息网络及软件购置更新</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30112</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其他社会保障缴费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0.59</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30211</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差旅费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0.23</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31008</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物资储备</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30113</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住房公积金</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17.51</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30212</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因公出国（境）费用</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31009</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土地补偿</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30114</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医疗费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30213</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维修（护）费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1.88</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31010</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安置补助</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30199</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其他工资福利支出</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30214</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租赁费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31011</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地上附着物和青苗补偿</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对个人和家庭的补助</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30215</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会议费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31012</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拆迁补偿</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30301</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离休费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30216</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培训费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0.21</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31013</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公务用车购置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30302</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退休费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30217</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公务接待费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31019</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其他交通工具购置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30303</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退职（役）费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30218</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专用材料费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31021</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文物和陈列品购置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30304</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抚恤金</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30224</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被装购置费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31022</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无形资产购置</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30305</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生活补助</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30225</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专用燃料费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31099</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其他资本性支出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30306</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救济费</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30226</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劳务费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0.10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399</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其他支出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30307</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医疗费补助</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30227</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委托业务费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39906</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赠与</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30308</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助学金</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30228</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工会经费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0.67</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39907</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国家赔偿费用支出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30309</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奖励金</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30229</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福利费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0.70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39908</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对民间非营利组织和群众性自治组织补贴</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30310</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个人农业生产补贴</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30231</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公务用车运行维护费</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1.17</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39999</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其他支出</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30399</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其他对个人和家庭的补助</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30239</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其他交通费用</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30240</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税金及附加费用</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766"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3334"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76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30299</w:t>
            </w:r>
          </w:p>
        </w:tc>
        <w:tc>
          <w:tcPr>
            <w:tcW w:w="223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其他商品和服务支出</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76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3331" w:type="dxa"/>
            <w:gridSpan w:val="3"/>
            <w:tcBorders>
              <w:top w:val="nil"/>
              <w:left w:val="nil"/>
              <w:bottom w:val="single" w:color="000000" w:sz="4" w:space="0"/>
              <w:right w:val="single" w:color="000000" w:sz="4" w:space="0"/>
            </w:tcBorders>
            <w:shd w:val="clear" w:color="FFFFFF"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4100" w:type="dxa"/>
            <w:gridSpan w:val="6"/>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人员经费合计</w:t>
            </w:r>
          </w:p>
        </w:tc>
        <w:tc>
          <w:tcPr>
            <w:tcW w:w="94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134.15</w:t>
            </w:r>
          </w:p>
        </w:tc>
        <w:tc>
          <w:tcPr>
            <w:tcW w:w="7997" w:type="dxa"/>
            <w:gridSpan w:val="9"/>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公用经费合计</w:t>
            </w:r>
          </w:p>
        </w:tc>
        <w:tc>
          <w:tcPr>
            <w:tcW w:w="2223" w:type="dxa"/>
            <w:gridSpan w:val="2"/>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6.58</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5260" w:type="dxa"/>
            <w:gridSpan w:val="18"/>
            <w:tcBorders>
              <w:top w:val="nil"/>
              <w:left w:val="nil"/>
              <w:bottom w:val="nil"/>
              <w:right w:val="nil"/>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注：本表反映部门本年度一般公共预算财政拨款基本支出明细情况。本表金额转换为万元时，因四舍五入可能存在尾差。</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6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bl>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tbl>
      <w:tblPr>
        <w:tblStyle w:val="5"/>
        <w:tblW w:w="13714" w:type="dxa"/>
        <w:tblInd w:w="91" w:type="dxa"/>
        <w:tblLayout w:type="autofit"/>
        <w:tblCellMar>
          <w:top w:w="0" w:type="dxa"/>
          <w:left w:w="108" w:type="dxa"/>
          <w:bottom w:w="0" w:type="dxa"/>
          <w:right w:w="108" w:type="dxa"/>
        </w:tblCellMar>
      </w:tblPr>
      <w:tblGrid>
        <w:gridCol w:w="1120"/>
        <w:gridCol w:w="1000"/>
        <w:gridCol w:w="1060"/>
        <w:gridCol w:w="980"/>
        <w:gridCol w:w="1060"/>
        <w:gridCol w:w="1460"/>
        <w:gridCol w:w="900"/>
        <w:gridCol w:w="1320"/>
        <w:gridCol w:w="1120"/>
        <w:gridCol w:w="1000"/>
        <w:gridCol w:w="1260"/>
        <w:gridCol w:w="1434"/>
      </w:tblGrid>
      <w:tr>
        <w:tblPrEx>
          <w:tblCellMar>
            <w:top w:w="0" w:type="dxa"/>
            <w:left w:w="108" w:type="dxa"/>
            <w:bottom w:w="0" w:type="dxa"/>
            <w:right w:w="108" w:type="dxa"/>
          </w:tblCellMar>
        </w:tblPrEx>
        <w:trPr>
          <w:trHeight w:val="540" w:hRule="atLeast"/>
        </w:trPr>
        <w:tc>
          <w:tcPr>
            <w:tcW w:w="13714" w:type="dxa"/>
            <w:gridSpan w:val="12"/>
            <w:tcBorders>
              <w:top w:val="nil"/>
              <w:left w:val="nil"/>
              <w:bottom w:val="nil"/>
              <w:right w:val="nil"/>
            </w:tcBorders>
            <w:shd w:val="clear" w:color="auto" w:fill="FFFFFF"/>
            <w:noWrap/>
            <w:vAlign w:val="bottom"/>
          </w:tcPr>
          <w:p>
            <w:pPr>
              <w:widowControl/>
              <w:jc w:val="center"/>
              <w:rPr>
                <w:rFonts w:ascii="宋体" w:cs="Arial"/>
                <w:color w:val="000000"/>
                <w:kern w:val="0"/>
                <w:sz w:val="44"/>
                <w:szCs w:val="44"/>
              </w:rPr>
            </w:pPr>
            <w:r>
              <w:rPr>
                <w:rFonts w:hint="eastAsia" w:ascii="宋体" w:hAnsi="宋体" w:cs="Arial"/>
                <w:color w:val="000000"/>
                <w:kern w:val="0"/>
                <w:sz w:val="44"/>
                <w:szCs w:val="44"/>
              </w:rPr>
              <w:t>一般公共预算财政拨款“三公”经费支出决算表</w:t>
            </w:r>
          </w:p>
        </w:tc>
      </w:tr>
      <w:tr>
        <w:tblPrEx>
          <w:tblCellMar>
            <w:top w:w="0" w:type="dxa"/>
            <w:left w:w="108" w:type="dxa"/>
            <w:bottom w:w="0" w:type="dxa"/>
            <w:right w:w="108" w:type="dxa"/>
          </w:tblCellMar>
        </w:tblPrEx>
        <w:trPr>
          <w:trHeight w:val="255" w:hRule="atLeast"/>
        </w:trPr>
        <w:tc>
          <w:tcPr>
            <w:tcW w:w="112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9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32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12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0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2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34"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07</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trHeight w:val="255" w:hRule="atLeast"/>
        </w:trPr>
        <w:tc>
          <w:tcPr>
            <w:tcW w:w="3180" w:type="dxa"/>
            <w:gridSpan w:val="3"/>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9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0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8494" w:type="dxa"/>
            <w:gridSpan w:val="7"/>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668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预算数</w:t>
            </w:r>
          </w:p>
        </w:tc>
        <w:tc>
          <w:tcPr>
            <w:tcW w:w="7034" w:type="dxa"/>
            <w:gridSpan w:val="6"/>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决算数</w:t>
            </w:r>
          </w:p>
        </w:tc>
      </w:tr>
      <w:tr>
        <w:tblPrEx>
          <w:tblCellMar>
            <w:top w:w="0" w:type="dxa"/>
            <w:left w:w="108" w:type="dxa"/>
            <w:bottom w:w="0" w:type="dxa"/>
            <w:right w:w="108" w:type="dxa"/>
          </w:tblCellMar>
        </w:tblPrEx>
        <w:trPr>
          <w:trHeight w:val="308" w:hRule="atLeast"/>
        </w:trPr>
        <w:tc>
          <w:tcPr>
            <w:tcW w:w="1120" w:type="dxa"/>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00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因公出国（境）费</w:t>
            </w:r>
          </w:p>
        </w:tc>
        <w:tc>
          <w:tcPr>
            <w:tcW w:w="3100" w:type="dxa"/>
            <w:gridSpan w:val="3"/>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公务用车购置及运行费</w:t>
            </w:r>
          </w:p>
        </w:tc>
        <w:tc>
          <w:tcPr>
            <w:tcW w:w="146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公务接待费</w:t>
            </w:r>
          </w:p>
        </w:tc>
        <w:tc>
          <w:tcPr>
            <w:tcW w:w="90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32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因公出国（境）费</w:t>
            </w:r>
          </w:p>
        </w:tc>
        <w:tc>
          <w:tcPr>
            <w:tcW w:w="3380" w:type="dxa"/>
            <w:gridSpan w:val="3"/>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公务用车购置及运行费</w:t>
            </w:r>
          </w:p>
        </w:tc>
        <w:tc>
          <w:tcPr>
            <w:tcW w:w="1434"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公务接待费</w:t>
            </w:r>
          </w:p>
        </w:tc>
      </w:tr>
      <w:tr>
        <w:tblPrEx>
          <w:tblCellMar>
            <w:top w:w="0" w:type="dxa"/>
            <w:left w:w="108" w:type="dxa"/>
            <w:bottom w:w="0" w:type="dxa"/>
            <w:right w:w="108" w:type="dxa"/>
          </w:tblCellMar>
        </w:tblPrEx>
        <w:trPr>
          <w:trHeight w:val="615" w:hRule="atLeast"/>
        </w:trPr>
        <w:tc>
          <w:tcPr>
            <w:tcW w:w="112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100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98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公务用车购置费</w:t>
            </w:r>
          </w:p>
        </w:tc>
        <w:tc>
          <w:tcPr>
            <w:tcW w:w="10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公务用车运行费</w:t>
            </w:r>
          </w:p>
        </w:tc>
        <w:tc>
          <w:tcPr>
            <w:tcW w:w="146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90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32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12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100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公务用车购置费</w:t>
            </w:r>
          </w:p>
        </w:tc>
        <w:tc>
          <w:tcPr>
            <w:tcW w:w="12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公务用车运行费</w:t>
            </w:r>
          </w:p>
        </w:tc>
        <w:tc>
          <w:tcPr>
            <w:tcW w:w="1434"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308" w:hRule="atLeast"/>
        </w:trPr>
        <w:tc>
          <w:tcPr>
            <w:tcW w:w="1120" w:type="dxa"/>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00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0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3</w:t>
            </w:r>
          </w:p>
        </w:tc>
        <w:tc>
          <w:tcPr>
            <w:tcW w:w="98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0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4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6</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7</w:t>
            </w:r>
          </w:p>
        </w:tc>
        <w:tc>
          <w:tcPr>
            <w:tcW w:w="132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8</w:t>
            </w:r>
          </w:p>
        </w:tc>
        <w:tc>
          <w:tcPr>
            <w:tcW w:w="112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9</w:t>
            </w:r>
          </w:p>
        </w:tc>
        <w:tc>
          <w:tcPr>
            <w:tcW w:w="100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10</w:t>
            </w:r>
          </w:p>
        </w:tc>
        <w:tc>
          <w:tcPr>
            <w:tcW w:w="1260"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11</w:t>
            </w:r>
          </w:p>
        </w:tc>
        <w:tc>
          <w:tcPr>
            <w:tcW w:w="1434" w:type="dxa"/>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ascii="宋体" w:hAnsi="宋体" w:cs="Arial"/>
                <w:color w:val="000000"/>
                <w:kern w:val="0"/>
                <w:sz w:val="22"/>
              </w:rPr>
              <w:t>12</w:t>
            </w:r>
          </w:p>
        </w:tc>
      </w:tr>
      <w:tr>
        <w:tblPrEx>
          <w:tblCellMar>
            <w:top w:w="0" w:type="dxa"/>
            <w:left w:w="108" w:type="dxa"/>
            <w:bottom w:w="0" w:type="dxa"/>
            <w:right w:w="108" w:type="dxa"/>
          </w:tblCellMar>
        </w:tblPrEx>
        <w:trPr>
          <w:trHeight w:val="308" w:hRule="atLeast"/>
        </w:trPr>
        <w:tc>
          <w:tcPr>
            <w:tcW w:w="1120" w:type="dxa"/>
            <w:tcBorders>
              <w:top w:val="nil"/>
              <w:left w:val="single" w:color="000000" w:sz="4" w:space="0"/>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2.00</w:t>
            </w:r>
          </w:p>
        </w:tc>
        <w:tc>
          <w:tcPr>
            <w:tcW w:w="10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2.00</w:t>
            </w:r>
          </w:p>
        </w:tc>
        <w:tc>
          <w:tcPr>
            <w:tcW w:w="9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0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2.00</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9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1.17</w:t>
            </w:r>
          </w:p>
        </w:tc>
        <w:tc>
          <w:tcPr>
            <w:tcW w:w="13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12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1.17</w:t>
            </w:r>
          </w:p>
        </w:tc>
        <w:tc>
          <w:tcPr>
            <w:tcW w:w="100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c>
          <w:tcPr>
            <w:tcW w:w="12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hAnsi="宋体" w:cs="Arial"/>
                <w:color w:val="000000"/>
                <w:kern w:val="0"/>
                <w:sz w:val="22"/>
              </w:rPr>
              <w:t>1.17</w:t>
            </w:r>
          </w:p>
        </w:tc>
        <w:tc>
          <w:tcPr>
            <w:tcW w:w="1434"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615" w:hRule="atLeast"/>
        </w:trPr>
        <w:tc>
          <w:tcPr>
            <w:tcW w:w="13714" w:type="dxa"/>
            <w:gridSpan w:val="12"/>
            <w:tcBorders>
              <w:top w:val="nil"/>
              <w:left w:val="nil"/>
              <w:bottom w:val="nil"/>
              <w:right w:val="nil"/>
            </w:tcBorders>
            <w:shd w:val="clear" w:color="auto" w:fill="FFFFFF"/>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三公”经费支出预决算情况。其中：预算数为“三公”经费全年预算数，反映按规定程序调整后的预算数；决算数是包括当年一般公共预算财政拨款和以前年度结转资金安排的实际支出。本表金额转换为万元时，因四舍五入可能存在尾差。</w:t>
            </w:r>
          </w:p>
        </w:tc>
      </w:tr>
    </w:tbl>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p>
      <w:pPr>
        <w:widowControl/>
        <w:spacing w:line="590" w:lineRule="exact"/>
        <w:jc w:val="left"/>
        <w:rPr>
          <w:rFonts w:ascii="仿宋_GB2312" w:hAnsi="仿宋_GB2312" w:eastAsia="仿宋_GB2312" w:cs="仿宋_GB2312"/>
          <w:sz w:val="32"/>
          <w:szCs w:val="32"/>
        </w:rPr>
      </w:pPr>
    </w:p>
    <w:tbl>
      <w:tblPr>
        <w:tblStyle w:val="5"/>
        <w:tblW w:w="13840" w:type="dxa"/>
        <w:tblInd w:w="91" w:type="dxa"/>
        <w:tblLayout w:type="autofit"/>
        <w:tblCellMar>
          <w:top w:w="0" w:type="dxa"/>
          <w:left w:w="108" w:type="dxa"/>
          <w:bottom w:w="0" w:type="dxa"/>
          <w:right w:w="108" w:type="dxa"/>
        </w:tblCellMar>
      </w:tblPr>
      <w:tblGrid>
        <w:gridCol w:w="340"/>
        <w:gridCol w:w="340"/>
        <w:gridCol w:w="340"/>
        <w:gridCol w:w="2440"/>
        <w:gridCol w:w="1180"/>
        <w:gridCol w:w="1460"/>
        <w:gridCol w:w="1680"/>
        <w:gridCol w:w="1680"/>
        <w:gridCol w:w="1680"/>
        <w:gridCol w:w="1680"/>
        <w:gridCol w:w="1020"/>
      </w:tblGrid>
      <w:tr>
        <w:tblPrEx>
          <w:tblCellMar>
            <w:top w:w="0" w:type="dxa"/>
            <w:left w:w="108" w:type="dxa"/>
            <w:bottom w:w="0" w:type="dxa"/>
            <w:right w:w="108" w:type="dxa"/>
          </w:tblCellMar>
        </w:tblPrEx>
        <w:trPr>
          <w:trHeight w:val="390" w:hRule="atLeast"/>
        </w:trPr>
        <w:tc>
          <w:tcPr>
            <w:tcW w:w="13840" w:type="dxa"/>
            <w:gridSpan w:val="11"/>
            <w:tcBorders>
              <w:top w:val="nil"/>
              <w:left w:val="nil"/>
              <w:bottom w:val="nil"/>
              <w:right w:val="nil"/>
            </w:tcBorders>
            <w:shd w:val="clear" w:color="auto" w:fill="FFFFFF"/>
            <w:noWrap/>
            <w:vAlign w:val="bottom"/>
          </w:tcPr>
          <w:p>
            <w:pPr>
              <w:widowControl/>
              <w:jc w:val="center"/>
              <w:rPr>
                <w:rFonts w:ascii="宋体" w:cs="Arial"/>
                <w:color w:val="000000"/>
                <w:kern w:val="0"/>
                <w:sz w:val="44"/>
                <w:szCs w:val="44"/>
              </w:rPr>
            </w:pPr>
            <w:r>
              <w:rPr>
                <w:rFonts w:hint="eastAsia" w:ascii="宋体" w:hAnsi="宋体" w:cs="Arial"/>
                <w:color w:val="000000"/>
                <w:kern w:val="0"/>
                <w:sz w:val="44"/>
                <w:szCs w:val="44"/>
              </w:rPr>
              <w:t>政府性基金预算财政拨款收入支出决算表</w:t>
            </w:r>
          </w:p>
        </w:tc>
      </w:tr>
      <w:tr>
        <w:tblPrEx>
          <w:tblCellMar>
            <w:top w:w="0" w:type="dxa"/>
            <w:left w:w="108" w:type="dxa"/>
            <w:bottom w:w="0" w:type="dxa"/>
            <w:right w:w="108" w:type="dxa"/>
          </w:tblCellMar>
        </w:tblPrEx>
        <w:trPr>
          <w:trHeight w:val="255" w:hRule="atLeast"/>
        </w:trPr>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3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244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1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08</w:t>
            </w:r>
            <w:r>
              <w:rPr>
                <w:rFonts w:hint="eastAsia" w:ascii="宋体" w:hAnsi="宋体" w:cs="Arial"/>
                <w:color w:val="000000"/>
                <w:kern w:val="0"/>
                <w:sz w:val="20"/>
                <w:szCs w:val="20"/>
              </w:rPr>
              <w:t>表</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rPr>
          <w:trHeight w:val="255" w:hRule="atLeast"/>
        </w:trPr>
        <w:tc>
          <w:tcPr>
            <w:tcW w:w="3460" w:type="dxa"/>
            <w:gridSpan w:val="4"/>
            <w:tcBorders>
              <w:top w:val="nil"/>
              <w:left w:val="nil"/>
              <w:bottom w:val="nil"/>
              <w:right w:val="nil"/>
            </w:tcBorders>
            <w:shd w:val="clear" w:color="auto" w:fill="FFFFFF"/>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部门：许昌市公路服务中心</w:t>
            </w:r>
          </w:p>
        </w:tc>
        <w:tc>
          <w:tcPr>
            <w:tcW w:w="11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46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left"/>
              <w:rPr>
                <w:rFonts w:ascii="Arial" w:hAnsi="Arial" w:cs="Arial"/>
                <w:color w:val="000000"/>
                <w:kern w:val="0"/>
                <w:sz w:val="20"/>
                <w:szCs w:val="20"/>
              </w:rPr>
            </w:pPr>
            <w:r>
              <w:rPr>
                <w:rFonts w:hint="eastAsia" w:ascii="Arial" w:hAnsi="Arial" w:cs="Arial"/>
                <w:color w:val="000000"/>
                <w:kern w:val="0"/>
                <w:sz w:val="20"/>
                <w:szCs w:val="20"/>
              </w:rPr>
              <w:t>　</w:t>
            </w:r>
          </w:p>
        </w:tc>
        <w:tc>
          <w:tcPr>
            <w:tcW w:w="1680" w:type="dxa"/>
            <w:tcBorders>
              <w:top w:val="nil"/>
              <w:left w:val="nil"/>
              <w:bottom w:val="nil"/>
              <w:right w:val="nil"/>
            </w:tcBorders>
            <w:shd w:val="clear" w:color="auto" w:fill="FFFFFF"/>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3460" w:type="dxa"/>
            <w:gridSpan w:val="4"/>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118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年初结转和结余</w:t>
            </w:r>
          </w:p>
        </w:tc>
        <w:tc>
          <w:tcPr>
            <w:tcW w:w="146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本年收入</w:t>
            </w:r>
          </w:p>
        </w:tc>
        <w:tc>
          <w:tcPr>
            <w:tcW w:w="5040" w:type="dxa"/>
            <w:gridSpan w:val="3"/>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本年支出</w:t>
            </w:r>
          </w:p>
        </w:tc>
        <w:tc>
          <w:tcPr>
            <w:tcW w:w="168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年末结转和结余</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2440"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11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16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168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c>
          <w:tcPr>
            <w:tcW w:w="16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244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1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244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1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3460" w:type="dxa"/>
            <w:gridSpan w:val="4"/>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11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46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68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ascii="宋体" w:hAnsi="宋体" w:cs="Arial"/>
                <w:color w:val="000000"/>
                <w:kern w:val="0"/>
                <w:sz w:val="22"/>
              </w:rPr>
              <w:t>6</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3460" w:type="dxa"/>
            <w:gridSpan w:val="4"/>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440"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440"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440"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440"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440"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440" w:type="dxa"/>
            <w:tcBorders>
              <w:top w:val="nil"/>
              <w:left w:val="nil"/>
              <w:bottom w:val="single" w:color="000000" w:sz="4" w:space="0"/>
              <w:right w:val="single" w:color="000000" w:sz="4" w:space="0"/>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1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6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80" w:type="dxa"/>
            <w:tcBorders>
              <w:top w:val="nil"/>
              <w:left w:val="nil"/>
              <w:bottom w:val="single" w:color="000000" w:sz="4" w:space="0"/>
              <w:right w:val="single" w:color="000000" w:sz="4" w:space="0"/>
            </w:tcBorders>
            <w:shd w:val="clear" w:color="auto" w:fill="FFFFFF"/>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r>
        <w:tblPrEx>
          <w:tblCellMar>
            <w:top w:w="0" w:type="dxa"/>
            <w:left w:w="108" w:type="dxa"/>
            <w:bottom w:w="0" w:type="dxa"/>
            <w:right w:w="108" w:type="dxa"/>
          </w:tblCellMar>
        </w:tblPrEx>
        <w:trPr>
          <w:trHeight w:val="308" w:hRule="atLeast"/>
        </w:trPr>
        <w:tc>
          <w:tcPr>
            <w:tcW w:w="12820" w:type="dxa"/>
            <w:gridSpan w:val="10"/>
            <w:tcBorders>
              <w:top w:val="nil"/>
              <w:left w:val="nil"/>
              <w:bottom w:val="nil"/>
              <w:right w:val="nil"/>
            </w:tcBorders>
            <w:shd w:val="clear" w:color="auto" w:fill="FFFFFF"/>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注：本表反映部门本年度政府性基金预算财政拨款收入、支出及结转和结余情况。</w:t>
            </w:r>
          </w:p>
          <w:p>
            <w:pPr>
              <w:widowControl/>
              <w:jc w:val="left"/>
              <w:rPr>
                <w:rFonts w:ascii="宋体" w:cs="Arial"/>
                <w:b/>
                <w:color w:val="000000"/>
                <w:kern w:val="0"/>
                <w:sz w:val="22"/>
                <w:szCs w:val="20"/>
              </w:rPr>
            </w:pPr>
            <w:r>
              <w:rPr>
                <w:rFonts w:hint="eastAsia" w:ascii="宋体" w:hAnsi="宋体" w:cs="Arial"/>
                <w:b/>
                <w:color w:val="000000"/>
                <w:kern w:val="0"/>
                <w:sz w:val="22"/>
              </w:rPr>
              <w:t>说明：我部门没有政府性基金收入，也没有使用政府性基金安排的支出，故本表无数据。</w:t>
            </w:r>
          </w:p>
        </w:tc>
        <w:tc>
          <w:tcPr>
            <w:tcW w:w="1020" w:type="dxa"/>
            <w:tcBorders>
              <w:top w:val="nil"/>
              <w:left w:val="nil"/>
              <w:bottom w:val="nil"/>
              <w:right w:val="nil"/>
            </w:tcBorders>
            <w:noWrap/>
            <w:vAlign w:val="bottom"/>
          </w:tcPr>
          <w:p>
            <w:pPr>
              <w:widowControl/>
              <w:jc w:val="left"/>
              <w:rPr>
                <w:rFonts w:ascii="Arial" w:hAnsi="Arial" w:cs="Arial"/>
                <w:color w:val="000000"/>
                <w:kern w:val="0"/>
                <w:sz w:val="20"/>
                <w:szCs w:val="20"/>
              </w:rPr>
            </w:pPr>
          </w:p>
        </w:tc>
      </w:tr>
    </w:tbl>
    <w:p>
      <w:pPr>
        <w:widowControl/>
        <w:spacing w:line="590" w:lineRule="exact"/>
        <w:jc w:val="left"/>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widowControl/>
        <w:jc w:val="left"/>
        <w:rPr>
          <w:rFonts w:ascii="仿宋_GB2312" w:hAnsi="仿宋_GB2312" w:eastAsia="仿宋_GB2312" w:cs="仿宋_GB2312"/>
          <w:sz w:val="32"/>
          <w:szCs w:val="32"/>
        </w:rPr>
      </w:pPr>
    </w:p>
    <w:p>
      <w:pPr>
        <w:widowControl/>
        <w:jc w:val="left"/>
        <w:rPr>
          <w:rFonts w:ascii="仿宋_GB2312" w:hAnsi="仿宋_GB2312" w:eastAsia="仿宋_GB2312" w:cs="仿宋_GB2312"/>
          <w:sz w:val="32"/>
          <w:szCs w:val="32"/>
        </w:rPr>
      </w:pPr>
    </w:p>
    <w:p>
      <w:pPr>
        <w:widowControl/>
        <w:jc w:val="left"/>
        <w:rPr>
          <w:rFonts w:ascii="仿宋_GB2312" w:hAnsi="仿宋_GB2312" w:eastAsia="仿宋_GB2312" w:cs="仿宋_GB2312"/>
          <w:sz w:val="32"/>
          <w:szCs w:val="32"/>
        </w:rPr>
      </w:pPr>
    </w:p>
    <w:p>
      <w:pPr>
        <w:widowControl/>
        <w:jc w:val="left"/>
        <w:rPr>
          <w:rFonts w:ascii="仿宋_GB2312" w:hAnsi="仿宋_GB2312" w:eastAsia="仿宋_GB2312" w:cs="仿宋_GB2312"/>
          <w:sz w:val="32"/>
          <w:szCs w:val="32"/>
        </w:rPr>
      </w:pPr>
    </w:p>
    <w:p>
      <w:pPr>
        <w:widowControl/>
        <w:jc w:val="left"/>
        <w:rPr>
          <w:rFonts w:ascii="仿宋_GB2312" w:hAnsi="仿宋_GB2312" w:eastAsia="仿宋_GB2312" w:cs="仿宋_GB2312"/>
          <w:sz w:val="32"/>
          <w:szCs w:val="32"/>
        </w:rPr>
      </w:pPr>
    </w:p>
    <w:p>
      <w:pPr>
        <w:widowControl/>
        <w:jc w:val="left"/>
        <w:rPr>
          <w:rFonts w:ascii="仿宋_GB2312" w:hAnsi="仿宋_GB2312" w:eastAsia="仿宋_GB2312" w:cs="仿宋_GB2312"/>
          <w:sz w:val="32"/>
          <w:szCs w:val="32"/>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第三部分</w:t>
      </w:r>
      <w:r>
        <w:rPr>
          <w:rFonts w:ascii="黑体" w:hAnsi="黑体" w:eastAsia="黑体" w:cs="黑体"/>
          <w:sz w:val="48"/>
          <w:szCs w:val="48"/>
        </w:rPr>
        <w:t xml:space="preserve">  2019</w:t>
      </w:r>
      <w:r>
        <w:rPr>
          <w:rFonts w:hint="eastAsia" w:ascii="黑体" w:hAnsi="黑体" w:eastAsia="黑体" w:cs="黑体"/>
          <w:sz w:val="48"/>
          <w:szCs w:val="48"/>
        </w:rPr>
        <w:t>年度部门决算情况说明</w:t>
      </w:r>
    </w:p>
    <w:p>
      <w:pPr>
        <w:widowControl/>
        <w:jc w:val="left"/>
        <w:rPr>
          <w:rFonts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ascii="仿宋_GB2312" w:hAnsi="黑体" w:eastAsia="仿宋_GB2312" w:cs="黑体"/>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年度收、支总计均为</w:t>
      </w:r>
      <w:r>
        <w:rPr>
          <w:rFonts w:ascii="仿宋_GB2312" w:hAnsi="宋体" w:eastAsia="仿宋_GB2312"/>
          <w:sz w:val="32"/>
          <w:szCs w:val="32"/>
          <w:lang w:val="zh-CN"/>
        </w:rPr>
        <w:t>153.97</w:t>
      </w:r>
      <w:r>
        <w:rPr>
          <w:rFonts w:hint="eastAsia" w:ascii="仿宋_GB2312" w:hAnsi="仿宋_GB2312" w:eastAsia="仿宋_GB2312" w:cs="仿宋_GB2312"/>
          <w:sz w:val="32"/>
          <w:szCs w:val="32"/>
        </w:rPr>
        <w:t>万元。与上年度相比，收、支总计各增加</w:t>
      </w:r>
      <w:r>
        <w:rPr>
          <w:rFonts w:ascii="仿宋_GB2312" w:hAnsi="宋体" w:eastAsia="仿宋_GB2312"/>
          <w:sz w:val="32"/>
          <w:szCs w:val="32"/>
          <w:lang w:val="zh-CN"/>
        </w:rPr>
        <w:t>12.18</w:t>
      </w:r>
      <w:r>
        <w:rPr>
          <w:rFonts w:hint="eastAsia" w:ascii="仿宋_GB2312" w:hAnsi="仿宋_GB2312" w:eastAsia="仿宋_GB2312" w:cs="仿宋_GB2312"/>
          <w:sz w:val="32"/>
          <w:szCs w:val="32"/>
        </w:rPr>
        <w:t>万元，增长</w:t>
      </w:r>
      <w:r>
        <w:rPr>
          <w:rFonts w:ascii="仿宋_GB2312" w:hAnsi="宋体" w:eastAsia="仿宋_GB2312"/>
          <w:sz w:val="32"/>
          <w:szCs w:val="32"/>
          <w:lang w:val="zh-CN"/>
        </w:rPr>
        <w:t>8.59%</w:t>
      </w:r>
      <w:r>
        <w:rPr>
          <w:rFonts w:hint="eastAsia" w:ascii="仿宋_GB2312" w:hAnsi="仿宋_GB2312" w:eastAsia="仿宋_GB2312" w:cs="仿宋_GB2312"/>
          <w:sz w:val="32"/>
          <w:szCs w:val="32"/>
        </w:rPr>
        <w:t>。主要原因是我们单位人员费用增加。</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ascii="仿宋_GB2312" w:hAnsi="仿宋" w:eastAsia="仿宋_GB2312" w:cs="仿宋"/>
          <w:sz w:val="32"/>
          <w:szCs w:val="32"/>
          <w:lang w:val="zh-CN"/>
        </w:rPr>
      </w:pPr>
      <w:r>
        <w:rPr>
          <w:rFonts w:ascii="仿宋_GB2312" w:hAnsi="仿宋" w:eastAsia="仿宋_GB2312" w:cs="仿宋"/>
          <w:sz w:val="32"/>
          <w:szCs w:val="32"/>
          <w:lang w:val="zh-CN"/>
        </w:rPr>
        <w:t>2019</w:t>
      </w:r>
      <w:r>
        <w:rPr>
          <w:rFonts w:hint="eastAsia" w:ascii="仿宋_GB2312" w:hAnsi="仿宋" w:eastAsia="仿宋_GB2312" w:cs="仿宋"/>
          <w:sz w:val="32"/>
          <w:szCs w:val="32"/>
          <w:lang w:val="zh-CN"/>
        </w:rPr>
        <w:t>年度收入合计</w:t>
      </w:r>
      <w:r>
        <w:rPr>
          <w:rFonts w:ascii="仿宋_GB2312" w:hAnsi="仿宋" w:eastAsia="仿宋_GB2312" w:cs="仿宋"/>
          <w:sz w:val="32"/>
          <w:szCs w:val="32"/>
          <w:lang w:val="zh-CN"/>
        </w:rPr>
        <w:t>144.57</w:t>
      </w:r>
      <w:r>
        <w:rPr>
          <w:rFonts w:hint="eastAsia" w:ascii="仿宋_GB2312" w:hAnsi="仿宋" w:eastAsia="仿宋_GB2312" w:cs="仿宋"/>
          <w:sz w:val="32"/>
          <w:szCs w:val="32"/>
          <w:lang w:val="zh-CN"/>
        </w:rPr>
        <w:t>万元，其中：财政拨款收入</w:t>
      </w:r>
      <w:r>
        <w:rPr>
          <w:rFonts w:ascii="仿宋_GB2312" w:hAnsi="仿宋" w:eastAsia="仿宋_GB2312" w:cs="仿宋"/>
          <w:sz w:val="32"/>
          <w:szCs w:val="32"/>
          <w:lang w:val="zh-CN"/>
        </w:rPr>
        <w:t>144.57</w:t>
      </w:r>
      <w:r>
        <w:rPr>
          <w:rFonts w:hint="eastAsia" w:ascii="仿宋_GB2312" w:hAnsi="仿宋" w:eastAsia="仿宋_GB2312" w:cs="仿宋"/>
          <w:sz w:val="32"/>
          <w:szCs w:val="32"/>
          <w:lang w:val="zh-CN"/>
        </w:rPr>
        <w:t>万元，占</w:t>
      </w:r>
      <w:r>
        <w:rPr>
          <w:rFonts w:ascii="仿宋_GB2312" w:hAnsi="仿宋" w:eastAsia="仿宋_GB2312" w:cs="仿宋"/>
          <w:sz w:val="32"/>
          <w:szCs w:val="32"/>
          <w:lang w:val="zh-CN"/>
        </w:rPr>
        <w:t>100%</w:t>
      </w:r>
      <w:r>
        <w:rPr>
          <w:rFonts w:hint="eastAsia" w:ascii="仿宋_GB2312" w:hAnsi="仿宋" w:eastAsia="仿宋_GB2312" w:cs="仿宋"/>
          <w:sz w:val="32"/>
          <w:szCs w:val="32"/>
          <w:lang w:val="zh-CN"/>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outlineLvl w:val="1"/>
        <w:rPr>
          <w:rFonts w:ascii="仿宋_GB2312" w:hAnsi="仿宋" w:eastAsia="仿宋_GB2312" w:cs="仿宋"/>
          <w:sz w:val="32"/>
          <w:szCs w:val="32"/>
        </w:rPr>
      </w:pPr>
      <w:r>
        <w:rPr>
          <w:rFonts w:ascii="仿宋_GB2312" w:hAnsi="仿宋" w:eastAsia="仿宋_GB2312" w:cs="仿宋"/>
          <w:sz w:val="32"/>
          <w:szCs w:val="32"/>
        </w:rPr>
        <w:t>2019</w:t>
      </w:r>
      <w:r>
        <w:rPr>
          <w:rFonts w:hint="eastAsia" w:ascii="仿宋_GB2312" w:hAnsi="仿宋" w:eastAsia="仿宋_GB2312" w:cs="仿宋"/>
          <w:sz w:val="32"/>
          <w:szCs w:val="32"/>
        </w:rPr>
        <w:t>年度支出合计</w:t>
      </w:r>
      <w:r>
        <w:rPr>
          <w:rFonts w:ascii="仿宋_GB2312" w:hAnsi="仿宋" w:eastAsia="仿宋_GB2312" w:cs="仿宋"/>
          <w:sz w:val="32"/>
          <w:szCs w:val="32"/>
        </w:rPr>
        <w:t>140.73</w:t>
      </w:r>
      <w:r>
        <w:rPr>
          <w:rFonts w:hint="eastAsia" w:ascii="仿宋_GB2312" w:hAnsi="仿宋" w:eastAsia="仿宋_GB2312" w:cs="仿宋"/>
          <w:sz w:val="32"/>
          <w:szCs w:val="32"/>
        </w:rPr>
        <w:t>万元，其中：基本支出</w:t>
      </w:r>
      <w:r>
        <w:rPr>
          <w:rFonts w:ascii="仿宋_GB2312" w:hAnsi="仿宋" w:eastAsia="仿宋_GB2312" w:cs="仿宋"/>
          <w:sz w:val="32"/>
          <w:szCs w:val="32"/>
        </w:rPr>
        <w:t>140.73</w:t>
      </w:r>
      <w:r>
        <w:rPr>
          <w:rFonts w:hint="eastAsia" w:ascii="仿宋_GB2312" w:hAnsi="仿宋" w:eastAsia="仿宋_GB2312" w:cs="仿宋"/>
          <w:sz w:val="32"/>
          <w:szCs w:val="32"/>
        </w:rPr>
        <w:t>万元，占</w:t>
      </w:r>
      <w:r>
        <w:rPr>
          <w:rFonts w:ascii="仿宋_GB2312" w:hAnsi="仿宋" w:eastAsia="仿宋_GB2312" w:cs="仿宋"/>
          <w:sz w:val="32"/>
          <w:szCs w:val="32"/>
        </w:rPr>
        <w:t>100%</w:t>
      </w:r>
      <w:r>
        <w:rPr>
          <w:rFonts w:hint="eastAsia" w:ascii="仿宋_GB2312" w:hAnsi="仿宋" w:eastAsia="仿宋_GB2312" w:cs="仿宋"/>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四、财政拨款收入支出决算总体情况说明</w:t>
      </w:r>
    </w:p>
    <w:p>
      <w:pPr>
        <w:ind w:firstLine="640" w:firstLineChars="200"/>
        <w:jc w:val="left"/>
        <w:rPr>
          <w:rFonts w:ascii="仿宋_GB2312" w:hAnsi="仿宋" w:eastAsia="仿宋_GB2312" w:cs="仿宋"/>
          <w:sz w:val="32"/>
          <w:szCs w:val="32"/>
          <w:lang w:val="zh-CN"/>
        </w:rPr>
      </w:pPr>
      <w:r>
        <w:rPr>
          <w:rFonts w:ascii="仿宋_GB2312" w:hAnsi="仿宋" w:eastAsia="仿宋_GB2312" w:cs="仿宋"/>
          <w:sz w:val="32"/>
          <w:szCs w:val="32"/>
          <w:lang w:val="zh-CN"/>
        </w:rPr>
        <w:t>2019</w:t>
      </w:r>
      <w:r>
        <w:rPr>
          <w:rFonts w:hint="eastAsia" w:ascii="仿宋_GB2312" w:hAnsi="仿宋" w:eastAsia="仿宋_GB2312" w:cs="仿宋"/>
          <w:sz w:val="32"/>
          <w:szCs w:val="32"/>
          <w:lang w:val="zh-CN"/>
        </w:rPr>
        <w:t>年度财政拨款收、支总计均为</w:t>
      </w:r>
      <w:r>
        <w:rPr>
          <w:rFonts w:ascii="仿宋_GB2312" w:hAnsi="仿宋" w:eastAsia="仿宋_GB2312" w:cs="仿宋"/>
          <w:sz w:val="32"/>
          <w:szCs w:val="32"/>
          <w:lang w:val="zh-CN"/>
        </w:rPr>
        <w:t>153.97</w:t>
      </w:r>
      <w:r>
        <w:rPr>
          <w:rFonts w:hint="eastAsia" w:ascii="仿宋_GB2312" w:hAnsi="仿宋" w:eastAsia="仿宋_GB2312" w:cs="仿宋"/>
          <w:sz w:val="32"/>
          <w:szCs w:val="32"/>
          <w:lang w:val="zh-CN"/>
        </w:rPr>
        <w:t>万元。与上年度相比，财政拨款收、支总计各增加</w:t>
      </w:r>
      <w:r>
        <w:rPr>
          <w:rFonts w:ascii="仿宋_GB2312" w:hAnsi="仿宋" w:eastAsia="仿宋_GB2312" w:cs="仿宋"/>
          <w:sz w:val="32"/>
          <w:szCs w:val="32"/>
          <w:lang w:val="zh-CN"/>
        </w:rPr>
        <w:t>12.18</w:t>
      </w:r>
      <w:r>
        <w:rPr>
          <w:rFonts w:hint="eastAsia" w:ascii="仿宋_GB2312" w:hAnsi="仿宋" w:eastAsia="仿宋_GB2312" w:cs="仿宋"/>
          <w:sz w:val="32"/>
          <w:szCs w:val="32"/>
          <w:lang w:val="zh-CN"/>
        </w:rPr>
        <w:t>万元，增长</w:t>
      </w:r>
      <w:r>
        <w:rPr>
          <w:rFonts w:ascii="仿宋_GB2312" w:hAnsi="仿宋" w:eastAsia="仿宋_GB2312" w:cs="仿宋"/>
          <w:sz w:val="32"/>
          <w:szCs w:val="32"/>
          <w:lang w:val="zh-CN"/>
        </w:rPr>
        <w:t>8.59%</w:t>
      </w:r>
      <w:r>
        <w:rPr>
          <w:rFonts w:hint="eastAsia" w:ascii="仿宋_GB2312" w:hAnsi="仿宋" w:eastAsia="仿宋_GB2312" w:cs="仿宋"/>
          <w:sz w:val="32"/>
          <w:szCs w:val="32"/>
          <w:lang w:val="zh-CN"/>
        </w:rPr>
        <w:t>。主要原因是</w:t>
      </w:r>
      <w:r>
        <w:rPr>
          <w:rFonts w:hint="eastAsia" w:ascii="仿宋_GB2312" w:hAnsi="仿宋_GB2312" w:eastAsia="仿宋_GB2312" w:cs="仿宋_GB2312"/>
          <w:sz w:val="32"/>
          <w:szCs w:val="32"/>
        </w:rPr>
        <w:t>本年度职工增资增加的职工福利支出</w:t>
      </w:r>
      <w:r>
        <w:rPr>
          <w:rFonts w:hint="eastAsia" w:ascii="仿宋_GB2312" w:hAnsi="仿宋" w:eastAsia="仿宋_GB2312" w:cs="仿宋"/>
          <w:sz w:val="32"/>
          <w:szCs w:val="32"/>
          <w:lang w:val="zh-CN"/>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（一）总体情况。</w:t>
      </w:r>
    </w:p>
    <w:p>
      <w:pPr>
        <w:ind w:firstLine="640" w:firstLineChars="200"/>
        <w:jc w:val="left"/>
        <w:rPr>
          <w:rFonts w:ascii="仿宋_GB2312" w:hAnsi="仿宋_GB2312" w:eastAsia="仿宋_GB2312" w:cs="仿宋_GB2312"/>
          <w:sz w:val="32"/>
          <w:szCs w:val="32"/>
        </w:rPr>
      </w:pPr>
      <w:r>
        <w:rPr>
          <w:rFonts w:ascii="仿宋_GB2312" w:hAnsi="仿宋" w:eastAsia="仿宋_GB2312" w:cs="仿宋"/>
          <w:sz w:val="32"/>
          <w:szCs w:val="32"/>
          <w:lang w:val="zh-CN"/>
        </w:rPr>
        <w:t>2019</w:t>
      </w:r>
      <w:r>
        <w:rPr>
          <w:rFonts w:hint="eastAsia" w:ascii="仿宋_GB2312" w:hAnsi="仿宋" w:eastAsia="仿宋_GB2312" w:cs="仿宋"/>
          <w:sz w:val="32"/>
          <w:szCs w:val="32"/>
          <w:lang w:val="zh-CN"/>
        </w:rPr>
        <w:t>年度一般公共预算财政拨款支出</w:t>
      </w:r>
      <w:r>
        <w:rPr>
          <w:rFonts w:ascii="仿宋_GB2312" w:hAnsi="仿宋" w:eastAsia="仿宋_GB2312" w:cs="仿宋"/>
          <w:sz w:val="32"/>
          <w:szCs w:val="32"/>
          <w:lang w:val="zh-CN"/>
        </w:rPr>
        <w:t>140.73</w:t>
      </w:r>
      <w:r>
        <w:rPr>
          <w:rFonts w:hint="eastAsia" w:ascii="仿宋_GB2312" w:hAnsi="仿宋" w:eastAsia="仿宋_GB2312" w:cs="仿宋"/>
          <w:sz w:val="32"/>
          <w:szCs w:val="32"/>
          <w:lang w:val="zh-CN"/>
        </w:rPr>
        <w:t>万元，占本年支出合计的</w:t>
      </w:r>
      <w:r>
        <w:rPr>
          <w:rFonts w:ascii="仿宋_GB2312" w:hAnsi="仿宋" w:eastAsia="仿宋_GB2312" w:cs="仿宋"/>
          <w:sz w:val="32"/>
          <w:szCs w:val="32"/>
          <w:lang w:val="zh-CN"/>
        </w:rPr>
        <w:t>100%</w:t>
      </w:r>
      <w:r>
        <w:rPr>
          <w:rFonts w:hint="eastAsia" w:ascii="仿宋_GB2312" w:hAnsi="仿宋" w:eastAsia="仿宋_GB2312" w:cs="仿宋"/>
          <w:sz w:val="32"/>
          <w:szCs w:val="32"/>
          <w:lang w:val="zh-CN"/>
        </w:rPr>
        <w:t>。与上年度相比，一般公共预算财政拨款支出增加</w:t>
      </w:r>
      <w:r>
        <w:rPr>
          <w:rFonts w:ascii="仿宋_GB2312" w:hAnsi="仿宋" w:eastAsia="仿宋_GB2312" w:cs="仿宋"/>
          <w:sz w:val="32"/>
          <w:szCs w:val="32"/>
          <w:lang w:val="zh-CN"/>
        </w:rPr>
        <w:t>8.87</w:t>
      </w:r>
      <w:r>
        <w:rPr>
          <w:rFonts w:hint="eastAsia" w:ascii="仿宋_GB2312" w:hAnsi="仿宋" w:eastAsia="仿宋_GB2312" w:cs="仿宋"/>
          <w:sz w:val="32"/>
          <w:szCs w:val="32"/>
          <w:lang w:val="zh-CN"/>
        </w:rPr>
        <w:t>万元，增长</w:t>
      </w:r>
      <w:r>
        <w:rPr>
          <w:rFonts w:ascii="仿宋_GB2312" w:hAnsi="仿宋" w:eastAsia="仿宋_GB2312" w:cs="仿宋"/>
          <w:sz w:val="32"/>
          <w:szCs w:val="32"/>
          <w:lang w:val="zh-CN"/>
        </w:rPr>
        <w:t>6.7%</w:t>
      </w:r>
      <w:r>
        <w:rPr>
          <w:rFonts w:hint="eastAsia" w:ascii="仿宋_GB2312" w:hAnsi="仿宋" w:eastAsia="仿宋_GB2312" w:cs="仿宋"/>
          <w:sz w:val="32"/>
          <w:szCs w:val="32"/>
          <w:lang w:val="zh-CN"/>
        </w:rPr>
        <w:t>。主要原因是</w:t>
      </w:r>
      <w:r>
        <w:rPr>
          <w:rFonts w:hint="eastAsia" w:ascii="仿宋_GB2312" w:hAnsi="仿宋_GB2312" w:eastAsia="仿宋_GB2312" w:cs="仿宋_GB2312"/>
          <w:sz w:val="32"/>
          <w:szCs w:val="32"/>
        </w:rPr>
        <w:t>人员费用增加</w:t>
      </w:r>
      <w:r>
        <w:rPr>
          <w:rFonts w:hint="eastAsia" w:ascii="仿宋_GB2312" w:hAnsi="宋体" w:eastAsia="仿宋_GB2312"/>
          <w:sz w:val="32"/>
          <w:szCs w:val="32"/>
          <w:lang w:val="zh-CN"/>
        </w:rPr>
        <w:t>。</w:t>
      </w:r>
    </w:p>
    <w:p>
      <w:pPr>
        <w:widowControl/>
        <w:spacing w:line="59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（二）结构情况。</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年度一般公共预算财政拨款支出</w:t>
      </w:r>
      <w:r>
        <w:rPr>
          <w:rFonts w:ascii="仿宋_GB2312" w:hAnsi="宋体" w:eastAsia="仿宋_GB2312"/>
          <w:sz w:val="32"/>
          <w:szCs w:val="32"/>
          <w:lang w:val="zh-CN"/>
        </w:rPr>
        <w:t>140.73</w:t>
      </w:r>
      <w:r>
        <w:rPr>
          <w:rFonts w:hint="eastAsia" w:ascii="仿宋_GB2312" w:hAnsi="仿宋_GB2312" w:eastAsia="仿宋_GB2312" w:cs="仿宋_GB2312"/>
          <w:sz w:val="32"/>
          <w:szCs w:val="32"/>
        </w:rPr>
        <w:t>万元，主要用于以下方面：交通运输支出（类）支</w:t>
      </w:r>
      <w:r>
        <w:rPr>
          <w:rFonts w:ascii="仿宋_GB2312" w:hAnsi="仿宋_GB2312" w:eastAsia="仿宋_GB2312" w:cs="仿宋_GB2312"/>
          <w:sz w:val="32"/>
          <w:szCs w:val="32"/>
        </w:rPr>
        <w:t>127.68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90.73%</w:t>
      </w:r>
      <w:r>
        <w:rPr>
          <w:rFonts w:hint="eastAsia" w:ascii="仿宋_GB2312" w:hAnsi="仿宋_GB2312" w:eastAsia="仿宋_GB2312" w:cs="仿宋_GB2312"/>
          <w:sz w:val="32"/>
          <w:szCs w:val="32"/>
        </w:rPr>
        <w:t>；一般公共服务支出</w:t>
      </w:r>
      <w:r>
        <w:rPr>
          <w:rFonts w:ascii="仿宋_GB2312" w:hAnsi="仿宋_GB2312" w:eastAsia="仿宋_GB2312" w:cs="仿宋_GB2312"/>
          <w:sz w:val="32"/>
          <w:szCs w:val="32"/>
        </w:rPr>
        <w:t>0.67</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0.4%</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8.99</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3.38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widowControl/>
        <w:spacing w:line="59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（三）具体情况。</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年度一般公共预算财政拨款支出年初预算为</w:t>
      </w:r>
      <w:r>
        <w:rPr>
          <w:rFonts w:ascii="仿宋_GB2312" w:hAnsi="仿宋_GB2312" w:eastAsia="仿宋_GB2312" w:cs="仿宋_GB2312"/>
          <w:sz w:val="32"/>
          <w:szCs w:val="32"/>
        </w:rPr>
        <w:t>137.75</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140.73</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102%</w:t>
      </w:r>
      <w:r>
        <w:rPr>
          <w:rFonts w:hint="eastAsia" w:ascii="仿宋_GB2312" w:hAnsi="仿宋_GB2312" w:eastAsia="仿宋_GB2312" w:cs="仿宋_GB2312"/>
          <w:sz w:val="32"/>
          <w:szCs w:val="32"/>
        </w:rPr>
        <w:t>。其中：</w:t>
      </w:r>
    </w:p>
    <w:p>
      <w:pPr>
        <w:widowControl/>
        <w:numPr>
          <w:numId w:val="0"/>
        </w:numPr>
        <w:spacing w:line="590" w:lineRule="exact"/>
        <w:ind w:firstLine="643" w:firstLineChars="200"/>
        <w:rPr>
          <w:rFonts w:ascii="仿宋_GB2312" w:hAnsi="仿宋_GB2312" w:eastAsia="仿宋_GB2312" w:cs="仿宋_GB2312"/>
          <w:sz w:val="32"/>
          <w:szCs w:val="32"/>
        </w:rPr>
      </w:pPr>
      <w:bookmarkStart w:id="0" w:name="_GoBack"/>
      <w:bookmarkEnd w:id="0"/>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．一般公共服务支出（类）群众团体事务（款）工会事务（项）。</w:t>
      </w:r>
      <w:r>
        <w:rPr>
          <w:rFonts w:hint="eastAsia" w:ascii="仿宋_GB2312" w:hAnsi="仿宋_GB2312" w:eastAsia="仿宋_GB2312" w:cs="仿宋_GB2312"/>
          <w:sz w:val="32"/>
          <w:szCs w:val="32"/>
        </w:rPr>
        <w:t>年初预算为</w:t>
      </w:r>
      <w:r>
        <w:rPr>
          <w:rFonts w:ascii="仿宋_GB2312" w:hAnsi="仿宋_GB2312" w:eastAsia="仿宋_GB2312" w:cs="仿宋_GB2312"/>
          <w:sz w:val="32"/>
          <w:szCs w:val="32"/>
        </w:rPr>
        <w:t>0.67</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0.67</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。决算数与年初预算数无差异。</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．社会保障和就业支出（类）行政事业单位离退休（款）机关事业单位基本养老保险缴费支出（项）。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w:t>
      </w:r>
      <w:r>
        <w:rPr>
          <w:rFonts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82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w:t>
      </w:r>
      <w:r>
        <w:rPr>
          <w:rFonts w:hint="eastAsia" w:ascii="仿宋_GB2312" w:hAnsi="仿宋_GB2312" w:eastAsia="仿宋_GB2312" w:cs="仿宋_GB2312"/>
          <w:sz w:val="32"/>
          <w:szCs w:val="32"/>
          <w:lang w:eastAsia="zh-CN"/>
        </w:rPr>
        <w:t>有差异</w:t>
      </w:r>
      <w:r>
        <w:rPr>
          <w:rFonts w:hint="eastAsia" w:ascii="仿宋_GB2312" w:hAnsi="仿宋_GB2312" w:eastAsia="仿宋_GB2312" w:cs="仿宋_GB2312"/>
          <w:sz w:val="32"/>
          <w:szCs w:val="32"/>
        </w:rPr>
        <w:t>原因</w:t>
      </w:r>
      <w:r>
        <w:rPr>
          <w:rFonts w:hint="eastAsia" w:ascii="仿宋_GB2312" w:hAnsi="仿宋_GB2312" w:eastAsia="仿宋_GB2312" w:cs="仿宋_GB2312"/>
          <w:sz w:val="32"/>
          <w:szCs w:val="32"/>
          <w:lang w:eastAsia="zh-CN"/>
        </w:rPr>
        <w:t>是从上年结余经费中列支</w:t>
      </w:r>
      <w:r>
        <w:rPr>
          <w:rFonts w:hint="eastAsia" w:ascii="仿宋_GB2312" w:hAnsi="仿宋_GB2312" w:eastAsia="仿宋_GB2312" w:cs="仿宋_GB2312"/>
          <w:sz w:val="32"/>
          <w:szCs w:val="32"/>
        </w:rPr>
        <w:t>。</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．卫生健康支出（类）行政事业单位医疗（款）事业单位医疗（项）。</w:t>
      </w:r>
      <w:r>
        <w:rPr>
          <w:rFonts w:hint="eastAsia" w:ascii="仿宋_GB2312" w:hAnsi="仿宋_GB2312" w:eastAsia="仿宋_GB2312" w:cs="仿宋_GB2312"/>
          <w:sz w:val="32"/>
          <w:szCs w:val="32"/>
        </w:rPr>
        <w:t>年初预算为</w:t>
      </w:r>
      <w:r>
        <w:rPr>
          <w:rFonts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3.38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rPr>
        <w:t>差异原因</w:t>
      </w:r>
      <w:r>
        <w:rPr>
          <w:rFonts w:hint="eastAsia" w:ascii="仿宋_GB2312" w:hAnsi="仿宋_GB2312" w:eastAsia="仿宋_GB2312" w:cs="仿宋_GB2312"/>
          <w:sz w:val="32"/>
          <w:szCs w:val="32"/>
          <w:lang w:eastAsia="zh-CN"/>
        </w:rPr>
        <w:t>是严格控制开支</w:t>
      </w:r>
      <w:r>
        <w:rPr>
          <w:rFonts w:hint="eastAsia" w:ascii="仿宋_GB2312" w:hAnsi="仿宋_GB2312" w:eastAsia="仿宋_GB2312" w:cs="仿宋_GB2312"/>
          <w:sz w:val="32"/>
          <w:szCs w:val="32"/>
        </w:rPr>
        <w:t>。</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．交通运输支出（类）公路水路运输（款）公路运输</w:t>
      </w:r>
      <w:r>
        <w:rPr>
          <w:rFonts w:hint="eastAsia" w:ascii="仿宋_GB2312" w:hAnsi="仿宋_GB2312" w:eastAsia="仿宋_GB2312" w:cs="仿宋_GB2312"/>
          <w:b/>
          <w:bCs/>
          <w:sz w:val="32"/>
          <w:szCs w:val="32"/>
          <w:lang w:val="en-US" w:eastAsia="zh-CN"/>
        </w:rPr>
        <w:t>安全</w:t>
      </w:r>
      <w:r>
        <w:rPr>
          <w:rFonts w:hint="eastAsia" w:ascii="仿宋_GB2312" w:hAnsi="仿宋_GB2312" w:eastAsia="仿宋_GB2312" w:cs="仿宋_GB2312"/>
          <w:b/>
          <w:bCs/>
          <w:sz w:val="32"/>
          <w:szCs w:val="32"/>
        </w:rPr>
        <w:t>（项）。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15.36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14.72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。决算数与年初预算数存在差异的主要原因</w:t>
      </w:r>
      <w:r>
        <w:rPr>
          <w:rFonts w:hint="eastAsia" w:ascii="仿宋_GB2312" w:hAnsi="仿宋_GB2312" w:eastAsia="仿宋_GB2312" w:cs="仿宋_GB2312"/>
          <w:sz w:val="32"/>
          <w:szCs w:val="32"/>
          <w:lang w:eastAsia="zh-CN"/>
        </w:rPr>
        <w:t>是严格控制开支</w:t>
      </w:r>
      <w:r>
        <w:rPr>
          <w:rFonts w:hint="eastAsia" w:ascii="仿宋_GB2312" w:hAnsi="仿宋_GB2312" w:eastAsia="仿宋_GB2312" w:cs="仿宋_GB2312"/>
          <w:sz w:val="32"/>
          <w:szCs w:val="32"/>
        </w:rPr>
        <w:t>。</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5</w:t>
      </w:r>
      <w:r>
        <w:rPr>
          <w:rFonts w:hint="eastAsia" w:ascii="仿宋_GB2312" w:hAnsi="仿宋_GB2312" w:eastAsia="仿宋_GB2312" w:cs="仿宋_GB2312"/>
          <w:b/>
          <w:bCs/>
          <w:sz w:val="32"/>
          <w:szCs w:val="32"/>
        </w:rPr>
        <w:t>．交通运输支出（类）公路水路运输（款）公路运输管理（项）。</w:t>
      </w:r>
      <w:r>
        <w:rPr>
          <w:rFonts w:hint="eastAsia" w:ascii="仿宋_GB2312" w:hAnsi="仿宋_GB2312" w:eastAsia="仿宋_GB2312" w:cs="仿宋_GB2312"/>
          <w:sz w:val="32"/>
          <w:szCs w:val="32"/>
        </w:rPr>
        <w:t>年初预算为</w:t>
      </w:r>
      <w:r>
        <w:rPr>
          <w:rFonts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0</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96.72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。决算数与年初预算数存在差异的主要原因是</w:t>
      </w:r>
      <w:r>
        <w:rPr>
          <w:rFonts w:hint="eastAsia" w:ascii="仿宋_GB2312" w:hAnsi="仿宋_GB2312" w:eastAsia="仿宋_GB2312" w:cs="仿宋_GB2312"/>
          <w:sz w:val="32"/>
          <w:szCs w:val="32"/>
          <w:lang w:eastAsia="zh-CN"/>
        </w:rPr>
        <w:t>严格控制开支</w:t>
      </w:r>
      <w:r>
        <w:rPr>
          <w:rFonts w:hint="eastAsia" w:ascii="仿宋_GB2312" w:hAnsi="仿宋_GB2312" w:eastAsia="仿宋_GB2312" w:cs="仿宋_GB2312"/>
          <w:sz w:val="32"/>
          <w:szCs w:val="32"/>
        </w:rPr>
        <w:t>。</w:t>
      </w:r>
    </w:p>
    <w:p>
      <w:pPr>
        <w:widowControl/>
        <w:numPr>
          <w:ilvl w:val="0"/>
          <w:numId w:val="0"/>
        </w:numPr>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交通运输支出（类）成品油价格改革对交通运输的补贴（款）成品油价格改革补贴其他支出（项）。</w:t>
      </w:r>
      <w:r>
        <w:rPr>
          <w:rFonts w:hint="eastAsia" w:ascii="仿宋_GB2312" w:hAnsi="仿宋_GB2312" w:eastAsia="仿宋_GB2312" w:cs="仿宋_GB2312"/>
          <w:sz w:val="32"/>
          <w:szCs w:val="32"/>
        </w:rPr>
        <w:t>年初预算为</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16.2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。决算数与年初预算数存在差异的主要原因是</w:t>
      </w:r>
      <w:r>
        <w:rPr>
          <w:rFonts w:hint="eastAsia" w:ascii="仿宋_GB2312" w:hAnsi="仿宋_GB2312" w:eastAsia="仿宋_GB2312" w:cs="仿宋_GB2312"/>
          <w:sz w:val="32"/>
          <w:szCs w:val="32"/>
          <w:lang w:eastAsia="zh-CN"/>
        </w:rPr>
        <w:t>从上年节余经费列支</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年度一般公共预算财政拨款基本支出</w:t>
      </w:r>
      <w:r>
        <w:rPr>
          <w:rFonts w:ascii="仿宋_GB2312" w:hAnsi="宋体" w:eastAsia="仿宋_GB2312"/>
          <w:sz w:val="32"/>
          <w:szCs w:val="32"/>
          <w:lang w:val="zh-CN"/>
        </w:rPr>
        <w:t>140.73</w:t>
      </w:r>
      <w:r>
        <w:rPr>
          <w:rFonts w:hint="eastAsia" w:ascii="仿宋_GB2312" w:hAnsi="仿宋_GB2312" w:eastAsia="仿宋_GB2312" w:cs="仿宋_GB2312"/>
          <w:sz w:val="32"/>
          <w:szCs w:val="32"/>
        </w:rPr>
        <w:t>万元。其中：人员经费</w:t>
      </w:r>
      <w:r>
        <w:rPr>
          <w:rFonts w:ascii="仿宋_GB2312" w:hAnsi="宋体" w:eastAsia="仿宋_GB2312"/>
          <w:sz w:val="32"/>
          <w:szCs w:val="32"/>
          <w:lang w:val="zh-CN"/>
        </w:rPr>
        <w:t>134.15</w:t>
      </w:r>
      <w:r>
        <w:rPr>
          <w:rFonts w:hint="eastAsia" w:ascii="仿宋_GB2312" w:hAnsi="仿宋_GB2312" w:eastAsia="仿宋_GB2312" w:cs="仿宋_GB2312"/>
          <w:sz w:val="32"/>
          <w:szCs w:val="32"/>
        </w:rPr>
        <w:t>万元，主要包括：基本工资、津贴补贴、绩效工资、机关事业单位基本养老保险缴费、职业年金缴费、其他社会保障缴费、住房公积金；公用经费</w:t>
      </w:r>
      <w:r>
        <w:rPr>
          <w:rFonts w:ascii="仿宋_GB2312" w:hAnsi="宋体" w:eastAsia="仿宋_GB2312"/>
          <w:sz w:val="32"/>
          <w:szCs w:val="32"/>
          <w:lang w:val="zh-CN"/>
        </w:rPr>
        <w:t>6.58</w:t>
      </w:r>
      <w:r>
        <w:rPr>
          <w:rFonts w:hint="eastAsia" w:ascii="仿宋_GB2312" w:hAnsi="仿宋_GB2312" w:eastAsia="仿宋_GB2312" w:cs="仿宋_GB2312"/>
          <w:sz w:val="32"/>
          <w:szCs w:val="32"/>
        </w:rPr>
        <w:t>万元，主要包括：办公费、邮电费、差旅费、维修（护）费、培训费、工会经费、福利费、公务用车运行维护费。</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七、一般公共预算财政拨款“三公”经费支出决算情况说明</w:t>
      </w:r>
    </w:p>
    <w:p>
      <w:pPr>
        <w:widowControl/>
        <w:spacing w:line="590" w:lineRule="exact"/>
        <w:ind w:firstLine="643" w:firstLineChars="200"/>
        <w:outlineLvl w:val="2"/>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（一）“三公”经费财政拨款支出决算总体情况说明。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年度“三公”经费财政拨款支出预算为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1.17</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58.5%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年度“三公”经费支出决算数与预算数存在差异的主要原因是我单位厉行节约，严格控制开支。</w:t>
      </w:r>
    </w:p>
    <w:p>
      <w:pPr>
        <w:widowControl/>
        <w:spacing w:line="590" w:lineRule="exact"/>
        <w:ind w:firstLine="643" w:firstLineChars="200"/>
        <w:outlineLvl w:val="2"/>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（二）“三公”经费财政拨款支出决算具体情况说明。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年度“三公”经费财政拨款支出决算中，因公出国（境）费支出决算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；公务用车购置及运行费支出决算</w:t>
      </w:r>
      <w:r>
        <w:rPr>
          <w:rFonts w:ascii="仿宋_GB2312" w:hAnsi="仿宋_GB2312" w:eastAsia="仿宋_GB2312" w:cs="仿宋_GB2312"/>
          <w:sz w:val="32"/>
          <w:szCs w:val="32"/>
        </w:rPr>
        <w:t>1.17</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58.5%</w:t>
      </w:r>
      <w:r>
        <w:rPr>
          <w:rFonts w:hint="eastAsia" w:ascii="仿宋_GB2312" w:hAnsi="仿宋_GB2312" w:eastAsia="仿宋_GB2312" w:cs="仿宋_GB2312"/>
          <w:sz w:val="32"/>
          <w:szCs w:val="32"/>
        </w:rPr>
        <w:t>；公务接待费支出决算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。具体情况如下：</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．因公出国（境）费</w:t>
      </w:r>
      <w:r>
        <w:rPr>
          <w:rFonts w:hint="eastAsia" w:ascii="仿宋_GB2312" w:hAnsi="仿宋_GB2312" w:eastAsia="仿宋_GB2312" w:cs="仿宋_GB2312"/>
          <w:sz w:val="32"/>
          <w:szCs w:val="32"/>
        </w:rPr>
        <w:t>预算为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万元。决算数与预算数与上年无差异。全年因公出国（境）团组</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个，累计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人次。</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．公务用车购置及运行费</w:t>
      </w:r>
      <w:r>
        <w:rPr>
          <w:rFonts w:hint="eastAsia" w:ascii="仿宋_GB2312" w:hAnsi="仿宋_GB2312" w:eastAsia="仿宋_GB2312" w:cs="仿宋_GB2312"/>
          <w:sz w:val="32"/>
          <w:szCs w:val="32"/>
        </w:rPr>
        <w:t>预算为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1.17</w:t>
      </w:r>
      <w:r>
        <w:rPr>
          <w:rFonts w:hint="eastAsia" w:ascii="仿宋_GB2312" w:hAnsi="仿宋_GB2312" w:eastAsia="仿宋_GB2312" w:cs="仿宋_GB2312"/>
          <w:sz w:val="32"/>
          <w:szCs w:val="32"/>
        </w:rPr>
        <w:t>万元，完成预算数的</w:t>
      </w:r>
      <w:r>
        <w:rPr>
          <w:rFonts w:ascii="仿宋_GB2312" w:hAnsi="仿宋_GB2312" w:eastAsia="仿宋_GB2312" w:cs="仿宋_GB2312"/>
          <w:sz w:val="32"/>
          <w:szCs w:val="32"/>
        </w:rPr>
        <w:t>58.5%</w:t>
      </w:r>
      <w:r>
        <w:rPr>
          <w:rFonts w:hint="eastAsia" w:ascii="仿宋_GB2312" w:hAnsi="仿宋_GB2312" w:eastAsia="仿宋_GB2312" w:cs="仿宋_GB2312"/>
          <w:sz w:val="32"/>
          <w:szCs w:val="32"/>
        </w:rPr>
        <w:t>。决算数与预算数存在差异的主要原因是我单位厉行节约，严格控制开支。</w:t>
      </w:r>
    </w:p>
    <w:p>
      <w:pPr>
        <w:widowControl/>
        <w:spacing w:line="59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其中：</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万元，购置车辆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辆，本年度我单位没有购置车辆。</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公务用车运行支出</w:t>
      </w:r>
      <w:r>
        <w:rPr>
          <w:rFonts w:ascii="仿宋_GB2312" w:hAnsi="仿宋_GB2312" w:eastAsia="仿宋_GB2312" w:cs="仿宋_GB2312"/>
          <w:sz w:val="32"/>
          <w:szCs w:val="32"/>
        </w:rPr>
        <w:t>1.17</w:t>
      </w:r>
      <w:r>
        <w:rPr>
          <w:rFonts w:hint="eastAsia" w:ascii="仿宋_GB2312" w:hAnsi="仿宋_GB2312" w:eastAsia="仿宋_GB2312" w:cs="仿宋_GB2312"/>
          <w:sz w:val="32"/>
          <w:szCs w:val="32"/>
        </w:rPr>
        <w:t>万元。主要用于</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w:t>
      </w:r>
      <w:r>
        <w:rPr>
          <w:rFonts w:hint="eastAsia" w:ascii="仿宋_GB2312" w:hAnsi="宋体" w:eastAsia="仿宋_GB2312" w:cs="Courier New"/>
          <w:sz w:val="32"/>
          <w:szCs w:val="32"/>
        </w:rPr>
        <w:t>公务车辆的油修及保险费用。</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年期末，部门开支财政拨款的公务用车保有量为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辆，其中：办公用车</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辆。</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公务接待费</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外宾接待支出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年共接待国（境）外来访团组</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个、来访外宾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人次（不包括陪同人员）。</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其他国内公务接待支出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年共接待国内来访团组</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个、来宾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人次（不包括陪同人员）。</w:t>
      </w:r>
    </w:p>
    <w:p>
      <w:pPr>
        <w:widowControl/>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八、预算绩效情况说明</w:t>
      </w:r>
    </w:p>
    <w:p>
      <w:pPr>
        <w:widowControl/>
        <w:spacing w:line="590" w:lineRule="exact"/>
        <w:ind w:firstLine="643" w:firstLineChars="200"/>
        <w:outlineLvl w:val="2"/>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（一）绩效管理工作开展情况。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我单位本年度没有开展绩效管理工作。</w:t>
      </w:r>
    </w:p>
    <w:p>
      <w:pPr>
        <w:widowControl/>
        <w:spacing w:line="590" w:lineRule="exact"/>
        <w:ind w:firstLine="643" w:firstLineChars="200"/>
        <w:outlineLvl w:val="2"/>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（二）项目绩效自评结果。</w:t>
      </w:r>
    </w:p>
    <w:p>
      <w:pPr>
        <w:widowControl/>
        <w:spacing w:line="590" w:lineRule="exact"/>
        <w:ind w:firstLine="640" w:firstLineChars="200"/>
        <w:outlineLvl w:val="2"/>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年度本部门未开展绩效自评工作。</w:t>
      </w:r>
    </w:p>
    <w:p>
      <w:pPr>
        <w:widowControl/>
        <w:spacing w:line="590" w:lineRule="exact"/>
        <w:ind w:firstLine="640" w:firstLineChars="200"/>
        <w:outlineLvl w:val="2"/>
        <w:rPr>
          <w:rFonts w:ascii="仿宋_GB2312" w:hAnsi="楷体_GB2312" w:eastAsia="仿宋_GB2312" w:cs="楷体_GB2312"/>
          <w:b/>
          <w:bCs/>
          <w:sz w:val="32"/>
          <w:szCs w:val="32"/>
        </w:rPr>
      </w:pPr>
      <w:r>
        <w:rPr>
          <w:rFonts w:hint="eastAsia" w:ascii="黑体" w:hAnsi="黑体" w:eastAsia="黑体" w:cs="黑体"/>
          <w:sz w:val="32"/>
          <w:szCs w:val="32"/>
        </w:rPr>
        <w:t>九、政府性基金预算财政拨款支出决算情况说明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年度政府性基金预算财政拨款支出年初预算为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万元。没有项目年末结转和结余资金数额较大，主要原因是：我单位</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年度没有政府性基金收入，也没有使用政府性基金安排的支出。</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年度机关运行经费年初预算为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万元。主要原因是：我单位不是行政机关，也不是非参照公务员管理事业单位，没有机关运行经费支出。</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019</w:t>
      </w:r>
      <w:r>
        <w:rPr>
          <w:rFonts w:hint="eastAsia" w:ascii="仿宋_GB2312" w:hAnsi="仿宋_GB2312" w:eastAsia="仿宋_GB2312" w:cs="仿宋_GB2312"/>
          <w:sz w:val="32"/>
          <w:szCs w:val="32"/>
        </w:rPr>
        <w:t>年度政府采购支出总额</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万元，其中：政府采购货物支出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万元、政府采购工程支出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万元、政府采购服务支出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万元。授予中小企业合同金额</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万元，其中：授予小微企业合同金额</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年期末，我部门共有车辆</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辆，其中：执勤用车</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辆；单位价值</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widowControl/>
        <w:jc w:val="left"/>
        <w:rPr>
          <w:rFonts w:ascii="仿宋_GB2312" w:hAnsi="楷体_GB2312" w:eastAsia="仿宋_GB2312" w:cs="楷体_GB2312"/>
          <w:sz w:val="32"/>
          <w:szCs w:val="32"/>
        </w:rPr>
        <w:sectPr>
          <w:pgSz w:w="11906" w:h="16838"/>
          <w:pgMar w:top="1440" w:right="1800" w:bottom="1440" w:left="1800" w:header="720" w:footer="720" w:gutter="0"/>
          <w:pgNumType w:fmt="numberInDash"/>
          <w:cols w:space="720" w:num="1"/>
          <w:docGrid w:type="lines" w:linePitch="312" w:charSpace="0"/>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第四部分</w:t>
      </w:r>
      <w:r>
        <w:rPr>
          <w:rFonts w:ascii="黑体" w:hAnsi="黑体" w:eastAsia="黑体" w:cs="黑体"/>
          <w:sz w:val="48"/>
          <w:szCs w:val="48"/>
        </w:rPr>
        <w:t xml:space="preserve">  </w:t>
      </w:r>
      <w:r>
        <w:rPr>
          <w:rFonts w:hint="eastAsia" w:ascii="黑体" w:hAnsi="黑体" w:eastAsia="黑体" w:cs="黑体"/>
          <w:sz w:val="48"/>
          <w:szCs w:val="48"/>
        </w:rPr>
        <w:t>名词解释</w:t>
      </w:r>
    </w:p>
    <w:p>
      <w:pPr>
        <w:jc w:val="center"/>
        <w:rPr>
          <w:rFonts w:ascii="黑体" w:hAnsi="黑体" w:eastAsia="黑体" w:cs="黑体"/>
          <w:sz w:val="48"/>
          <w:szCs w:val="48"/>
        </w:rPr>
      </w:pPr>
    </w:p>
    <w:p>
      <w:pPr>
        <w:jc w:val="center"/>
        <w:outlineLvl w:val="0"/>
        <w:rPr>
          <w:rFonts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文本框 6"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- 25 -</w:t>
                </w:r>
                <w:r>
                  <w:rPr>
                    <w:sz w:val="18"/>
                  </w:rPr>
                  <w:fldChar w:fldCharType="end"/>
                </w:r>
              </w:p>
            </w:txbxContent>
          </v:textbox>
        </v:shape>
      </w:pict>
    </w:r>
    <w:r>
      <w:pict>
        <v:shape id="文本框 1027" o:spid="_x0000_s4098" o:spt="202" type="#_x0000_t202" style="position:absolute;left:0pt;margin-top:0pt;height:144pt;width:144pt;mso-position-horizontal:center;mso-position-horizontal-relative:margin;mso-wrap-style:none;z-index:251657216;mso-width-relative:page;mso-height-relative:page;" filled="f" stroked="f" coordsize="21600,21600">
          <v:path/>
          <v:fill on="f" focussize="0,0"/>
          <v:stroke on="f" joinstyle="miter"/>
          <v:imagedata o:title=""/>
          <o:lock v:ext="edit"/>
          <v:textbox inset="0mm,0mm,0mm,0mm" style="mso-fit-shape-to-text:t;">
            <w:txbxContent>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文本框 7" o:spid="_x0000_s409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- 24 -</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70E8"/>
    <w:rsid w:val="00017C95"/>
    <w:rsid w:val="00021BE3"/>
    <w:rsid w:val="000270E8"/>
    <w:rsid w:val="00034C86"/>
    <w:rsid w:val="00035BC9"/>
    <w:rsid w:val="000364B7"/>
    <w:rsid w:val="00040151"/>
    <w:rsid w:val="00044E95"/>
    <w:rsid w:val="00057AFD"/>
    <w:rsid w:val="000738CA"/>
    <w:rsid w:val="00076410"/>
    <w:rsid w:val="000C073B"/>
    <w:rsid w:val="000C49E9"/>
    <w:rsid w:val="001003F8"/>
    <w:rsid w:val="00101C38"/>
    <w:rsid w:val="001047B8"/>
    <w:rsid w:val="001406A1"/>
    <w:rsid w:val="00144159"/>
    <w:rsid w:val="00147B60"/>
    <w:rsid w:val="00170592"/>
    <w:rsid w:val="001718A8"/>
    <w:rsid w:val="00180F0D"/>
    <w:rsid w:val="00182842"/>
    <w:rsid w:val="00187361"/>
    <w:rsid w:val="001905F2"/>
    <w:rsid w:val="001C62C2"/>
    <w:rsid w:val="001D61B1"/>
    <w:rsid w:val="001F5040"/>
    <w:rsid w:val="002006EB"/>
    <w:rsid w:val="00205F58"/>
    <w:rsid w:val="0021533B"/>
    <w:rsid w:val="00260D70"/>
    <w:rsid w:val="00282C7F"/>
    <w:rsid w:val="00287811"/>
    <w:rsid w:val="00297146"/>
    <w:rsid w:val="002B3F94"/>
    <w:rsid w:val="002D23B4"/>
    <w:rsid w:val="002D290B"/>
    <w:rsid w:val="002D6A36"/>
    <w:rsid w:val="002E6A86"/>
    <w:rsid w:val="002F4DB1"/>
    <w:rsid w:val="00304D04"/>
    <w:rsid w:val="00305B88"/>
    <w:rsid w:val="00315FEB"/>
    <w:rsid w:val="003221EF"/>
    <w:rsid w:val="00337A87"/>
    <w:rsid w:val="003547F7"/>
    <w:rsid w:val="003668DB"/>
    <w:rsid w:val="003751B2"/>
    <w:rsid w:val="003875A4"/>
    <w:rsid w:val="003A6EF1"/>
    <w:rsid w:val="003C6463"/>
    <w:rsid w:val="003E3955"/>
    <w:rsid w:val="003F4035"/>
    <w:rsid w:val="00401327"/>
    <w:rsid w:val="0041292A"/>
    <w:rsid w:val="004241FC"/>
    <w:rsid w:val="0042585F"/>
    <w:rsid w:val="00445CAC"/>
    <w:rsid w:val="00447CF4"/>
    <w:rsid w:val="00451136"/>
    <w:rsid w:val="00472E19"/>
    <w:rsid w:val="00487869"/>
    <w:rsid w:val="004A1E92"/>
    <w:rsid w:val="004B36B3"/>
    <w:rsid w:val="004C3697"/>
    <w:rsid w:val="004D1B56"/>
    <w:rsid w:val="004D5275"/>
    <w:rsid w:val="004D6620"/>
    <w:rsid w:val="004F55FA"/>
    <w:rsid w:val="00507364"/>
    <w:rsid w:val="00546F7C"/>
    <w:rsid w:val="00551E01"/>
    <w:rsid w:val="00553413"/>
    <w:rsid w:val="005717BF"/>
    <w:rsid w:val="00577EC8"/>
    <w:rsid w:val="00592F15"/>
    <w:rsid w:val="005A0C2F"/>
    <w:rsid w:val="005B1AE2"/>
    <w:rsid w:val="005B5E45"/>
    <w:rsid w:val="00602472"/>
    <w:rsid w:val="006228C4"/>
    <w:rsid w:val="006512DD"/>
    <w:rsid w:val="00656BEF"/>
    <w:rsid w:val="00656D75"/>
    <w:rsid w:val="00657962"/>
    <w:rsid w:val="00657E86"/>
    <w:rsid w:val="00673EF7"/>
    <w:rsid w:val="0069449E"/>
    <w:rsid w:val="006C07F0"/>
    <w:rsid w:val="006C644A"/>
    <w:rsid w:val="006C7D84"/>
    <w:rsid w:val="006E4D9C"/>
    <w:rsid w:val="00704C3B"/>
    <w:rsid w:val="007148E8"/>
    <w:rsid w:val="007335C1"/>
    <w:rsid w:val="00733DAA"/>
    <w:rsid w:val="007427BA"/>
    <w:rsid w:val="00742BA0"/>
    <w:rsid w:val="00753545"/>
    <w:rsid w:val="00764156"/>
    <w:rsid w:val="007706D7"/>
    <w:rsid w:val="007800C4"/>
    <w:rsid w:val="007879ED"/>
    <w:rsid w:val="00794B82"/>
    <w:rsid w:val="007952F3"/>
    <w:rsid w:val="0079650D"/>
    <w:rsid w:val="007A48A3"/>
    <w:rsid w:val="007C029F"/>
    <w:rsid w:val="007C7F49"/>
    <w:rsid w:val="007D2A21"/>
    <w:rsid w:val="007E5796"/>
    <w:rsid w:val="0083718A"/>
    <w:rsid w:val="00843461"/>
    <w:rsid w:val="0086604F"/>
    <w:rsid w:val="00872946"/>
    <w:rsid w:val="008755CD"/>
    <w:rsid w:val="0087581F"/>
    <w:rsid w:val="0088023A"/>
    <w:rsid w:val="008858FB"/>
    <w:rsid w:val="00890FDA"/>
    <w:rsid w:val="00894B41"/>
    <w:rsid w:val="008B5427"/>
    <w:rsid w:val="008E151E"/>
    <w:rsid w:val="00903F6B"/>
    <w:rsid w:val="009173F9"/>
    <w:rsid w:val="00975A04"/>
    <w:rsid w:val="009F1D9F"/>
    <w:rsid w:val="009F39F9"/>
    <w:rsid w:val="009F546E"/>
    <w:rsid w:val="00A079F0"/>
    <w:rsid w:val="00A23C9F"/>
    <w:rsid w:val="00A23FD2"/>
    <w:rsid w:val="00A303BF"/>
    <w:rsid w:val="00A57BF7"/>
    <w:rsid w:val="00A7228C"/>
    <w:rsid w:val="00A83D8A"/>
    <w:rsid w:val="00A93E7D"/>
    <w:rsid w:val="00AA260E"/>
    <w:rsid w:val="00AA44CB"/>
    <w:rsid w:val="00AA67CD"/>
    <w:rsid w:val="00AC4DAD"/>
    <w:rsid w:val="00AD6761"/>
    <w:rsid w:val="00AE600E"/>
    <w:rsid w:val="00B0083B"/>
    <w:rsid w:val="00B1664D"/>
    <w:rsid w:val="00B209B8"/>
    <w:rsid w:val="00B249F3"/>
    <w:rsid w:val="00B36B28"/>
    <w:rsid w:val="00B45812"/>
    <w:rsid w:val="00B52831"/>
    <w:rsid w:val="00B710DD"/>
    <w:rsid w:val="00B73423"/>
    <w:rsid w:val="00B8355F"/>
    <w:rsid w:val="00BE5A85"/>
    <w:rsid w:val="00BF5718"/>
    <w:rsid w:val="00C222DF"/>
    <w:rsid w:val="00C3106E"/>
    <w:rsid w:val="00C60609"/>
    <w:rsid w:val="00C90EE8"/>
    <w:rsid w:val="00C91686"/>
    <w:rsid w:val="00C95CC1"/>
    <w:rsid w:val="00CA3F44"/>
    <w:rsid w:val="00CB30B7"/>
    <w:rsid w:val="00CE212D"/>
    <w:rsid w:val="00CE4B38"/>
    <w:rsid w:val="00CE544B"/>
    <w:rsid w:val="00D1321A"/>
    <w:rsid w:val="00D24C98"/>
    <w:rsid w:val="00D30ADF"/>
    <w:rsid w:val="00D50511"/>
    <w:rsid w:val="00D6315E"/>
    <w:rsid w:val="00D652C2"/>
    <w:rsid w:val="00D71F5B"/>
    <w:rsid w:val="00D74EE2"/>
    <w:rsid w:val="00D77497"/>
    <w:rsid w:val="00D83E19"/>
    <w:rsid w:val="00D86721"/>
    <w:rsid w:val="00DA00C9"/>
    <w:rsid w:val="00DB200E"/>
    <w:rsid w:val="00DB65F5"/>
    <w:rsid w:val="00DE4C40"/>
    <w:rsid w:val="00E01C3E"/>
    <w:rsid w:val="00E01F57"/>
    <w:rsid w:val="00E13099"/>
    <w:rsid w:val="00E30190"/>
    <w:rsid w:val="00E4339F"/>
    <w:rsid w:val="00E45728"/>
    <w:rsid w:val="00E5761B"/>
    <w:rsid w:val="00E629EA"/>
    <w:rsid w:val="00E6777C"/>
    <w:rsid w:val="00EB05A3"/>
    <w:rsid w:val="00EC3E24"/>
    <w:rsid w:val="00ED21EE"/>
    <w:rsid w:val="00ED38B7"/>
    <w:rsid w:val="00EE051D"/>
    <w:rsid w:val="00EE07E8"/>
    <w:rsid w:val="00EE2CD5"/>
    <w:rsid w:val="00F0131A"/>
    <w:rsid w:val="00F13DCC"/>
    <w:rsid w:val="00F14C17"/>
    <w:rsid w:val="00F17041"/>
    <w:rsid w:val="00F30EFA"/>
    <w:rsid w:val="00F44937"/>
    <w:rsid w:val="00F61A47"/>
    <w:rsid w:val="00F72578"/>
    <w:rsid w:val="00F75D8F"/>
    <w:rsid w:val="00F83071"/>
    <w:rsid w:val="00F84422"/>
    <w:rsid w:val="00F95455"/>
    <w:rsid w:val="00F979B2"/>
    <w:rsid w:val="00FA2DB0"/>
    <w:rsid w:val="00FA574D"/>
    <w:rsid w:val="00FE7AD9"/>
    <w:rsid w:val="01322275"/>
    <w:rsid w:val="01DC6F05"/>
    <w:rsid w:val="02A3489A"/>
    <w:rsid w:val="02CA138D"/>
    <w:rsid w:val="031D3520"/>
    <w:rsid w:val="033646FC"/>
    <w:rsid w:val="03C75F80"/>
    <w:rsid w:val="0478364D"/>
    <w:rsid w:val="053D4C0D"/>
    <w:rsid w:val="0557532E"/>
    <w:rsid w:val="05CD780D"/>
    <w:rsid w:val="06C11C28"/>
    <w:rsid w:val="0799329C"/>
    <w:rsid w:val="07F771B9"/>
    <w:rsid w:val="086F16A7"/>
    <w:rsid w:val="088A5A8D"/>
    <w:rsid w:val="0A0F7225"/>
    <w:rsid w:val="0A2B7D82"/>
    <w:rsid w:val="0ADC40E9"/>
    <w:rsid w:val="0AE607F4"/>
    <w:rsid w:val="0B451598"/>
    <w:rsid w:val="0BEB609E"/>
    <w:rsid w:val="0BEC73F4"/>
    <w:rsid w:val="0C392698"/>
    <w:rsid w:val="10BD36F6"/>
    <w:rsid w:val="111C3B6D"/>
    <w:rsid w:val="11BF0649"/>
    <w:rsid w:val="123E3E08"/>
    <w:rsid w:val="138E5504"/>
    <w:rsid w:val="13D22E22"/>
    <w:rsid w:val="14911E3C"/>
    <w:rsid w:val="14A35B1D"/>
    <w:rsid w:val="161C2DFF"/>
    <w:rsid w:val="16373578"/>
    <w:rsid w:val="16D3336B"/>
    <w:rsid w:val="17806C36"/>
    <w:rsid w:val="17A74F62"/>
    <w:rsid w:val="18A47774"/>
    <w:rsid w:val="19FF1B80"/>
    <w:rsid w:val="1B2E6FD8"/>
    <w:rsid w:val="1B3C21D9"/>
    <w:rsid w:val="1B877D21"/>
    <w:rsid w:val="1C4319A9"/>
    <w:rsid w:val="1D9B4B5B"/>
    <w:rsid w:val="1E443B4B"/>
    <w:rsid w:val="1E994F4A"/>
    <w:rsid w:val="1EAF0224"/>
    <w:rsid w:val="1F2230A4"/>
    <w:rsid w:val="1FA95917"/>
    <w:rsid w:val="20210932"/>
    <w:rsid w:val="202448E0"/>
    <w:rsid w:val="21302EEA"/>
    <w:rsid w:val="22376FB5"/>
    <w:rsid w:val="22E0629F"/>
    <w:rsid w:val="23E152D7"/>
    <w:rsid w:val="255D43C8"/>
    <w:rsid w:val="26876BDD"/>
    <w:rsid w:val="2714632A"/>
    <w:rsid w:val="27B0539E"/>
    <w:rsid w:val="29365CF8"/>
    <w:rsid w:val="299469B3"/>
    <w:rsid w:val="2A805789"/>
    <w:rsid w:val="2ADC0D75"/>
    <w:rsid w:val="2B4A0E52"/>
    <w:rsid w:val="2BC15197"/>
    <w:rsid w:val="2C975890"/>
    <w:rsid w:val="2D1C3D67"/>
    <w:rsid w:val="2DEF21BB"/>
    <w:rsid w:val="2E4A2F05"/>
    <w:rsid w:val="2ECC1061"/>
    <w:rsid w:val="2FA476AD"/>
    <w:rsid w:val="2FE02A5F"/>
    <w:rsid w:val="303F7540"/>
    <w:rsid w:val="31557A16"/>
    <w:rsid w:val="31DD00BF"/>
    <w:rsid w:val="3293174C"/>
    <w:rsid w:val="32BB38D4"/>
    <w:rsid w:val="32C9376D"/>
    <w:rsid w:val="33780472"/>
    <w:rsid w:val="33A97C93"/>
    <w:rsid w:val="33AF0905"/>
    <w:rsid w:val="355932F4"/>
    <w:rsid w:val="35611882"/>
    <w:rsid w:val="366A3CE4"/>
    <w:rsid w:val="36746FC3"/>
    <w:rsid w:val="368763AE"/>
    <w:rsid w:val="395D59E7"/>
    <w:rsid w:val="39707130"/>
    <w:rsid w:val="39A93932"/>
    <w:rsid w:val="3A915562"/>
    <w:rsid w:val="3B4E1D7F"/>
    <w:rsid w:val="3B8D4765"/>
    <w:rsid w:val="3B964F8D"/>
    <w:rsid w:val="3C000DBA"/>
    <w:rsid w:val="3DC045D3"/>
    <w:rsid w:val="3E504FFB"/>
    <w:rsid w:val="3E615CD0"/>
    <w:rsid w:val="3E9C47F6"/>
    <w:rsid w:val="3F8B0112"/>
    <w:rsid w:val="3FAB3095"/>
    <w:rsid w:val="3FE45947"/>
    <w:rsid w:val="41242965"/>
    <w:rsid w:val="435671EA"/>
    <w:rsid w:val="440809E9"/>
    <w:rsid w:val="442407A6"/>
    <w:rsid w:val="44805EA1"/>
    <w:rsid w:val="45710696"/>
    <w:rsid w:val="46142B1B"/>
    <w:rsid w:val="478E6748"/>
    <w:rsid w:val="47E60DD0"/>
    <w:rsid w:val="482E3762"/>
    <w:rsid w:val="48735039"/>
    <w:rsid w:val="492C684B"/>
    <w:rsid w:val="49500594"/>
    <w:rsid w:val="49E433E7"/>
    <w:rsid w:val="49E7604E"/>
    <w:rsid w:val="4A623B90"/>
    <w:rsid w:val="4BF67CDD"/>
    <w:rsid w:val="4CDD1DFF"/>
    <w:rsid w:val="4D173441"/>
    <w:rsid w:val="4D603DD6"/>
    <w:rsid w:val="4EBF010F"/>
    <w:rsid w:val="4EDE6721"/>
    <w:rsid w:val="4F471EB0"/>
    <w:rsid w:val="51331326"/>
    <w:rsid w:val="51740A7F"/>
    <w:rsid w:val="51A5541E"/>
    <w:rsid w:val="51C96242"/>
    <w:rsid w:val="53906AE1"/>
    <w:rsid w:val="54F46F60"/>
    <w:rsid w:val="55A37BEA"/>
    <w:rsid w:val="56362CD2"/>
    <w:rsid w:val="5784687B"/>
    <w:rsid w:val="57846959"/>
    <w:rsid w:val="578E6A87"/>
    <w:rsid w:val="58220775"/>
    <w:rsid w:val="5AC2203A"/>
    <w:rsid w:val="5CBB3334"/>
    <w:rsid w:val="5D115FAF"/>
    <w:rsid w:val="5D5C5B99"/>
    <w:rsid w:val="5F8E0AFB"/>
    <w:rsid w:val="601D2365"/>
    <w:rsid w:val="621D564A"/>
    <w:rsid w:val="62811722"/>
    <w:rsid w:val="62E75A72"/>
    <w:rsid w:val="64571880"/>
    <w:rsid w:val="648C4D37"/>
    <w:rsid w:val="649125B6"/>
    <w:rsid w:val="652F4C1A"/>
    <w:rsid w:val="666D37F1"/>
    <w:rsid w:val="67087D8F"/>
    <w:rsid w:val="671F687E"/>
    <w:rsid w:val="67F415F8"/>
    <w:rsid w:val="682640D1"/>
    <w:rsid w:val="684B73E5"/>
    <w:rsid w:val="6A047A2A"/>
    <w:rsid w:val="6EFB7548"/>
    <w:rsid w:val="6F3831C3"/>
    <w:rsid w:val="6F8B71C1"/>
    <w:rsid w:val="70753482"/>
    <w:rsid w:val="707B522A"/>
    <w:rsid w:val="72636D72"/>
    <w:rsid w:val="73194D05"/>
    <w:rsid w:val="73A83B0E"/>
    <w:rsid w:val="744D3EF9"/>
    <w:rsid w:val="746C56E5"/>
    <w:rsid w:val="74794411"/>
    <w:rsid w:val="75867C40"/>
    <w:rsid w:val="75B10B26"/>
    <w:rsid w:val="75BC78D7"/>
    <w:rsid w:val="75E220A4"/>
    <w:rsid w:val="76432199"/>
    <w:rsid w:val="76F44829"/>
    <w:rsid w:val="77A267C0"/>
    <w:rsid w:val="78882278"/>
    <w:rsid w:val="78B118A6"/>
    <w:rsid w:val="79135044"/>
    <w:rsid w:val="7A7D0F99"/>
    <w:rsid w:val="7A9F63A1"/>
    <w:rsid w:val="7E4A0E7C"/>
    <w:rsid w:val="7EFD449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0"/>
    <w:qFormat/>
    <w:uiPriority w:val="99"/>
    <w:rPr>
      <w:sz w:val="18"/>
      <w:szCs w:val="18"/>
    </w:rPr>
  </w:style>
  <w:style w:type="paragraph" w:styleId="3">
    <w:name w:val="footer"/>
    <w:basedOn w:val="1"/>
    <w:link w:val="19"/>
    <w:qFormat/>
    <w:uiPriority w:val="99"/>
    <w:pPr>
      <w:tabs>
        <w:tab w:val="center" w:pos="4153"/>
        <w:tab w:val="right" w:pos="8306"/>
      </w:tabs>
      <w:snapToGrid w:val="0"/>
      <w:jc w:val="left"/>
    </w:pPr>
    <w:rPr>
      <w:rFonts w:ascii="Times New Roman" w:hAnsi="Times New Roman"/>
      <w:sz w:val="18"/>
      <w:szCs w:val="20"/>
    </w:rPr>
  </w:style>
  <w:style w:type="paragraph" w:styleId="4">
    <w:name w:val="header"/>
    <w:basedOn w:val="1"/>
    <w:link w:val="1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qFormat/>
    <w:uiPriority w:val="99"/>
    <w:rPr>
      <w:rFonts w:cs="Times New Roman"/>
      <w:color w:val="800080"/>
      <w:u w:val="single"/>
    </w:rPr>
  </w:style>
  <w:style w:type="character" w:styleId="9">
    <w:name w:val="Hyperlink"/>
    <w:basedOn w:val="7"/>
    <w:qFormat/>
    <w:uiPriority w:val="99"/>
    <w:rPr>
      <w:rFonts w:cs="Times New Roman"/>
      <w:color w:val="0000FF"/>
      <w:u w:val="single"/>
    </w:rPr>
  </w:style>
  <w:style w:type="character" w:customStyle="1" w:styleId="10">
    <w:name w:val="Balloon Text Char"/>
    <w:basedOn w:val="7"/>
    <w:link w:val="2"/>
    <w:semiHidden/>
    <w:qFormat/>
    <w:locked/>
    <w:uiPriority w:val="99"/>
    <w:rPr>
      <w:rFonts w:cs="Times New Roman"/>
      <w:kern w:val="2"/>
      <w:sz w:val="18"/>
      <w:szCs w:val="18"/>
    </w:rPr>
  </w:style>
  <w:style w:type="character" w:customStyle="1" w:styleId="11">
    <w:name w:val="Footer Char"/>
    <w:basedOn w:val="7"/>
    <w:link w:val="3"/>
    <w:qFormat/>
    <w:locked/>
    <w:uiPriority w:val="99"/>
    <w:rPr>
      <w:rFonts w:cs="Times New Roman"/>
      <w:kern w:val="2"/>
      <w:sz w:val="18"/>
    </w:rPr>
  </w:style>
  <w:style w:type="character" w:customStyle="1" w:styleId="12">
    <w:name w:val="Header Char"/>
    <w:basedOn w:val="7"/>
    <w:link w:val="4"/>
    <w:qFormat/>
    <w:locked/>
    <w:uiPriority w:val="99"/>
    <w:rPr>
      <w:rFonts w:cs="Times New Roman"/>
      <w:kern w:val="2"/>
      <w:sz w:val="18"/>
    </w:rPr>
  </w:style>
  <w:style w:type="character" w:customStyle="1" w:styleId="13">
    <w:name w:val="font21"/>
    <w:basedOn w:val="7"/>
    <w:qFormat/>
    <w:uiPriority w:val="99"/>
    <w:rPr>
      <w:rFonts w:ascii="宋体" w:hAnsi="宋体" w:eastAsia="宋体" w:cs="宋体"/>
      <w:color w:val="000000"/>
      <w:sz w:val="22"/>
      <w:szCs w:val="22"/>
      <w:u w:val="none"/>
    </w:rPr>
  </w:style>
  <w:style w:type="character" w:customStyle="1" w:styleId="14">
    <w:name w:val="font11"/>
    <w:basedOn w:val="7"/>
    <w:qFormat/>
    <w:uiPriority w:val="99"/>
    <w:rPr>
      <w:rFonts w:ascii="宋体" w:hAnsi="宋体" w:eastAsia="宋体" w:cs="宋体"/>
      <w:color w:val="000000"/>
      <w:sz w:val="20"/>
      <w:szCs w:val="20"/>
      <w:u w:val="none"/>
    </w:rPr>
  </w:style>
  <w:style w:type="character" w:customStyle="1" w:styleId="15">
    <w:name w:val="font01"/>
    <w:basedOn w:val="7"/>
    <w:qFormat/>
    <w:uiPriority w:val="99"/>
    <w:rPr>
      <w:rFonts w:ascii="宋体" w:hAnsi="宋体" w:eastAsia="宋体" w:cs="宋体"/>
      <w:color w:val="000000"/>
      <w:sz w:val="22"/>
      <w:szCs w:val="22"/>
      <w:u w:val="none"/>
    </w:rPr>
  </w:style>
  <w:style w:type="character" w:customStyle="1" w:styleId="16">
    <w:name w:val="font41"/>
    <w:basedOn w:val="7"/>
    <w:qFormat/>
    <w:uiPriority w:val="99"/>
    <w:rPr>
      <w:rFonts w:ascii="宋体" w:hAnsi="宋体" w:eastAsia="宋体" w:cs="宋体"/>
      <w:color w:val="000000"/>
      <w:sz w:val="24"/>
      <w:szCs w:val="24"/>
      <w:u w:val="none"/>
    </w:rPr>
  </w:style>
  <w:style w:type="character" w:customStyle="1" w:styleId="17">
    <w:name w:val="font51"/>
    <w:basedOn w:val="7"/>
    <w:qFormat/>
    <w:uiPriority w:val="99"/>
    <w:rPr>
      <w:rFonts w:ascii="宋体" w:hAnsi="宋体" w:eastAsia="宋体" w:cs="宋体"/>
      <w:color w:val="000000"/>
      <w:sz w:val="24"/>
      <w:szCs w:val="24"/>
      <w:u w:val="none"/>
    </w:rPr>
  </w:style>
  <w:style w:type="character" w:customStyle="1" w:styleId="18">
    <w:name w:val="Header Char1"/>
    <w:basedOn w:val="7"/>
    <w:link w:val="4"/>
    <w:semiHidden/>
    <w:qFormat/>
    <w:locked/>
    <w:uiPriority w:val="99"/>
    <w:rPr>
      <w:rFonts w:cs="Times New Roman"/>
      <w:sz w:val="18"/>
      <w:szCs w:val="18"/>
    </w:rPr>
  </w:style>
  <w:style w:type="character" w:customStyle="1" w:styleId="19">
    <w:name w:val="Footer Char1"/>
    <w:basedOn w:val="7"/>
    <w:link w:val="3"/>
    <w:semiHidden/>
    <w:qFormat/>
    <w:locked/>
    <w:uiPriority w:val="99"/>
    <w:rPr>
      <w:rFonts w:cs="Times New Roman"/>
      <w:sz w:val="18"/>
      <w:szCs w:val="18"/>
    </w:rPr>
  </w:style>
  <w:style w:type="character" w:customStyle="1" w:styleId="20">
    <w:name w:val="Balloon Text Char1"/>
    <w:basedOn w:val="7"/>
    <w:link w:val="2"/>
    <w:semiHidden/>
    <w:qFormat/>
    <w:locked/>
    <w:uiPriority w:val="99"/>
    <w:rPr>
      <w:rFonts w:cs="Times New Roman"/>
      <w:sz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 User</Company>
  <Pages>29</Pages>
  <Words>1773</Words>
  <Characters>10110</Characters>
  <Lines>0</Lines>
  <Paragraphs>0</Paragraphs>
  <TotalTime>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2019-09-09T03:06:00Z</dcterms:created>
  <dc:creator>管理者</dc:creator>
  <cp:lastModifiedBy>椿树无花</cp:lastModifiedBy>
  <cp:lastPrinted>2018-07-24T10:50:00Z</cp:lastPrinted>
  <dcterms:modified xsi:type="dcterms:W3CDTF">2020-09-10T00:42:59Z</dcterms:modified>
  <dc:title>2018年度</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